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8A0" w:rsidRDefault="004318A0" w:rsidP="004318A0">
      <w:pPr>
        <w:rPr>
          <w:rFonts w:ascii="Arial" w:hAnsi="Arial" w:cs="Arial"/>
          <w:b/>
          <w:sz w:val="22"/>
          <w:szCs w:val="18"/>
        </w:rPr>
      </w:pPr>
      <w:r>
        <w:rPr>
          <w:rFonts w:ascii="Arial" w:hAnsi="Arial" w:cs="Arial"/>
          <w:b/>
          <w:sz w:val="22"/>
          <w:szCs w:val="18"/>
        </w:rPr>
        <w:t>THREAT ASSESSMENT &amp; VIOLENCE PREVENTION</w:t>
      </w:r>
    </w:p>
    <w:p w:rsidR="004318A0" w:rsidRDefault="004318A0" w:rsidP="004318A0">
      <w:pPr>
        <w:rPr>
          <w:rFonts w:ascii="Arial" w:hAnsi="Arial" w:cs="Arial"/>
          <w:b/>
          <w:bCs/>
          <w:sz w:val="18"/>
          <w:szCs w:val="18"/>
        </w:rPr>
      </w:pPr>
    </w:p>
    <w:p w:rsidR="004318A0" w:rsidRDefault="004318A0" w:rsidP="004318A0">
      <w:pPr>
        <w:rPr>
          <w:rFonts w:ascii="Arial" w:hAnsi="Arial" w:cs="Arial"/>
          <w:sz w:val="18"/>
          <w:szCs w:val="18"/>
        </w:rPr>
      </w:pPr>
      <w:r>
        <w:rPr>
          <w:rFonts w:ascii="Arial" w:hAnsi="Arial" w:cs="Arial"/>
          <w:b/>
          <w:bCs/>
          <w:sz w:val="18"/>
          <w:szCs w:val="18"/>
        </w:rPr>
        <w:t>Policy Statement</w:t>
      </w:r>
      <w:r>
        <w:rPr>
          <w:rFonts w:ascii="Arial" w:hAnsi="Arial" w:cs="Arial"/>
          <w:sz w:val="18"/>
          <w:szCs w:val="18"/>
        </w:rPr>
        <w:br/>
        <w:t>Wake Tech strives to create an atmosphere that encourages learning and productivity. To that end, the college considers the following behaviors unacceptable:</w:t>
      </w:r>
    </w:p>
    <w:p w:rsidR="004318A0" w:rsidRDefault="004318A0" w:rsidP="004318A0">
      <w:pPr>
        <w:rPr>
          <w:rFonts w:ascii="Arial" w:hAnsi="Arial" w:cs="Arial"/>
          <w:sz w:val="18"/>
          <w:szCs w:val="18"/>
        </w:rPr>
      </w:pP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Injuring another person physically;</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Engaging in behavior that creates a reasonable fear of injury to another person;</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Engaging in behavior that subjects another individual to undue emotional distress;</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Possessing, brandishing, or using a weapon that is not required by the individual’s position while on college premises or engaged in college business;</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Intentionally damaging property;</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Threatening to injure an individual or damage property;</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Committing injurious acts motivated by, or related to, domestic violence or sexual harassment;</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Retaliating against any person who, in good faith, reports a violation of this policy; and,</w:t>
      </w:r>
    </w:p>
    <w:p w:rsidR="004318A0" w:rsidRDefault="004318A0" w:rsidP="004318A0">
      <w:pPr>
        <w:numPr>
          <w:ilvl w:val="0"/>
          <w:numId w:val="1"/>
        </w:numPr>
        <w:spacing w:line="360" w:lineRule="auto"/>
        <w:rPr>
          <w:rFonts w:ascii="Arial" w:hAnsi="Arial" w:cs="Arial"/>
          <w:sz w:val="18"/>
          <w:szCs w:val="18"/>
        </w:rPr>
      </w:pPr>
      <w:r>
        <w:rPr>
          <w:rFonts w:ascii="Arial" w:hAnsi="Arial" w:cs="Arial"/>
          <w:sz w:val="18"/>
          <w:szCs w:val="18"/>
        </w:rPr>
        <w:t>Any other behavior or activity that creates a threat or danger to a person or the campus.</w:t>
      </w:r>
    </w:p>
    <w:p w:rsidR="004318A0" w:rsidRDefault="004318A0" w:rsidP="004318A0">
      <w:pPr>
        <w:rPr>
          <w:rFonts w:ascii="Arial" w:hAnsi="Arial" w:cs="Arial"/>
          <w:sz w:val="18"/>
          <w:szCs w:val="18"/>
        </w:rPr>
      </w:pPr>
      <w:r>
        <w:rPr>
          <w:rFonts w:ascii="Arial" w:hAnsi="Arial" w:cs="Arial"/>
          <w:sz w:val="18"/>
          <w:szCs w:val="18"/>
        </w:rPr>
        <w:t>This policy will be enforceable at any property, building, or other facility that is owned, leased, or used by Wake Technical Community College for any college activity. Violators will be subject to Wake Tech disciplinary policies or North Carolina statutes as appropriate.</w:t>
      </w:r>
    </w:p>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b/>
          <w:bCs/>
          <w:sz w:val="18"/>
          <w:szCs w:val="18"/>
        </w:rPr>
        <w:t>Reason for Policy</w:t>
      </w:r>
      <w:r>
        <w:rPr>
          <w:rFonts w:ascii="Arial" w:hAnsi="Arial" w:cs="Arial"/>
          <w:sz w:val="18"/>
          <w:szCs w:val="18"/>
        </w:rPr>
        <w:br/>
        <w:t>Wake Technical Community College is committed to providing students, employees, contractors, and visitors with a safe and secure environment that is free from threats, intimidation, and violence. This policy contributes to the creation of that environment by helping school officials respond responsibly, prudently, and effectively to threats and other behaviors that raise concern about potential violence.</w:t>
      </w:r>
    </w:p>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b/>
          <w:bCs/>
          <w:sz w:val="18"/>
          <w:szCs w:val="18"/>
        </w:rPr>
        <w:t>Definitions</w:t>
      </w:r>
    </w:p>
    <w:tbl>
      <w:tblPr>
        <w:tblW w:w="9285" w:type="dxa"/>
        <w:tblBorders>
          <w:top w:val="single" w:sz="2" w:space="0" w:color="auto"/>
          <w:left w:val="single" w:sz="2" w:space="0" w:color="auto"/>
          <w:bottom w:val="single" w:sz="6" w:space="0" w:color="DDDDDD"/>
          <w:right w:val="single" w:sz="2" w:space="0" w:color="auto"/>
        </w:tblBorders>
        <w:shd w:val="clear" w:color="auto" w:fill="F7F7F7"/>
        <w:tblCellMar>
          <w:left w:w="0" w:type="dxa"/>
          <w:right w:w="0" w:type="dxa"/>
        </w:tblCellMar>
        <w:tblLook w:val="04A0" w:firstRow="1" w:lastRow="0" w:firstColumn="1" w:lastColumn="0" w:noHBand="0" w:noVBand="1"/>
      </w:tblPr>
      <w:tblGrid>
        <w:gridCol w:w="1857"/>
        <w:gridCol w:w="7428"/>
      </w:tblGrid>
      <w:tr w:rsidR="004318A0" w:rsidTr="004318A0">
        <w:tc>
          <w:tcPr>
            <w:tcW w:w="1000" w:type="pct"/>
            <w:tcBorders>
              <w:top w:val="single" w:sz="6" w:space="0" w:color="auto"/>
              <w:left w:val="outset" w:sz="2" w:space="0" w:color="auto"/>
              <w:bottom w:val="outset" w:sz="2" w:space="0" w:color="auto"/>
              <w:right w:val="outset" w:sz="2" w:space="0" w:color="auto"/>
            </w:tcBorders>
            <w:shd w:val="clear" w:color="auto" w:fill="F7F7F7"/>
            <w:tcMar>
              <w:top w:w="90" w:type="dxa"/>
              <w:left w:w="0" w:type="dxa"/>
              <w:bottom w:w="90" w:type="dxa"/>
              <w:right w:w="150" w:type="dxa"/>
            </w:tcMar>
            <w:vAlign w:val="bottom"/>
            <w:hideMark/>
          </w:tcPr>
          <w:p w:rsidR="004318A0" w:rsidRDefault="004318A0">
            <w:pPr>
              <w:rPr>
                <w:rFonts w:ascii="Arial" w:hAnsi="Arial" w:cs="Arial"/>
                <w:sz w:val="18"/>
                <w:szCs w:val="18"/>
              </w:rPr>
            </w:pPr>
            <w:r>
              <w:rPr>
                <w:rFonts w:ascii="Arial" w:hAnsi="Arial" w:cs="Arial"/>
                <w:sz w:val="18"/>
                <w:szCs w:val="18"/>
              </w:rPr>
              <w:t>Targeted Violence</w:t>
            </w:r>
          </w:p>
        </w:tc>
        <w:tc>
          <w:tcPr>
            <w:tcW w:w="4000" w:type="pct"/>
            <w:tcBorders>
              <w:top w:val="single" w:sz="6" w:space="0" w:color="auto"/>
              <w:left w:val="outset" w:sz="2" w:space="0" w:color="auto"/>
              <w:bottom w:val="outset" w:sz="2" w:space="0" w:color="auto"/>
              <w:right w:val="outset" w:sz="2" w:space="0" w:color="auto"/>
            </w:tcBorders>
            <w:shd w:val="clear" w:color="auto" w:fill="F7F7F7"/>
            <w:tcMar>
              <w:top w:w="90" w:type="dxa"/>
              <w:left w:w="0" w:type="dxa"/>
              <w:bottom w:w="90" w:type="dxa"/>
              <w:right w:w="150" w:type="dxa"/>
            </w:tcMar>
            <w:vAlign w:val="bottom"/>
            <w:hideMark/>
          </w:tcPr>
          <w:p w:rsidR="004318A0" w:rsidRDefault="004318A0">
            <w:pPr>
              <w:rPr>
                <w:rFonts w:ascii="Arial" w:hAnsi="Arial" w:cs="Arial"/>
                <w:sz w:val="18"/>
                <w:szCs w:val="18"/>
              </w:rPr>
            </w:pPr>
            <w:r>
              <w:rPr>
                <w:rFonts w:ascii="Arial" w:hAnsi="Arial" w:cs="Arial"/>
                <w:sz w:val="18"/>
                <w:szCs w:val="18"/>
              </w:rPr>
              <w:t>Any incidence of violence in which an attacker selects a particular target prior to a violent attack on that target</w:t>
            </w:r>
          </w:p>
        </w:tc>
      </w:tr>
      <w:tr w:rsidR="004318A0" w:rsidTr="004318A0">
        <w:trPr>
          <w:trHeight w:val="660"/>
        </w:trPr>
        <w:tc>
          <w:tcPr>
            <w:tcW w:w="0" w:type="auto"/>
            <w:tcBorders>
              <w:top w:val="single" w:sz="6" w:space="0" w:color="DDDDDD"/>
              <w:left w:val="outset" w:sz="2" w:space="0" w:color="auto"/>
              <w:bottom w:val="outset" w:sz="2" w:space="0" w:color="auto"/>
              <w:right w:val="outset" w:sz="2" w:space="0" w:color="auto"/>
            </w:tcBorders>
            <w:shd w:val="clear" w:color="auto" w:fill="F7F7F7"/>
            <w:tcMar>
              <w:top w:w="90" w:type="dxa"/>
              <w:left w:w="0" w:type="dxa"/>
              <w:bottom w:w="90" w:type="dxa"/>
              <w:right w:w="150" w:type="dxa"/>
            </w:tcMar>
            <w:vAlign w:val="bottom"/>
            <w:hideMark/>
          </w:tcPr>
          <w:p w:rsidR="004318A0" w:rsidRDefault="004318A0">
            <w:pPr>
              <w:rPr>
                <w:rFonts w:ascii="Arial" w:hAnsi="Arial" w:cs="Arial"/>
                <w:sz w:val="18"/>
                <w:szCs w:val="18"/>
              </w:rPr>
            </w:pPr>
            <w:r>
              <w:rPr>
                <w:rFonts w:ascii="Arial" w:hAnsi="Arial" w:cs="Arial"/>
                <w:sz w:val="18"/>
                <w:szCs w:val="18"/>
              </w:rPr>
              <w:t>Concerning Behavior</w:t>
            </w:r>
          </w:p>
        </w:tc>
        <w:tc>
          <w:tcPr>
            <w:tcW w:w="0" w:type="auto"/>
            <w:tcBorders>
              <w:top w:val="single" w:sz="6" w:space="0" w:color="DDDDDD"/>
              <w:left w:val="outset" w:sz="2" w:space="0" w:color="auto"/>
              <w:bottom w:val="outset" w:sz="2" w:space="0" w:color="auto"/>
              <w:right w:val="outset" w:sz="2" w:space="0" w:color="auto"/>
            </w:tcBorders>
            <w:shd w:val="clear" w:color="auto" w:fill="F7F7F7"/>
            <w:tcMar>
              <w:top w:w="90" w:type="dxa"/>
              <w:left w:w="0" w:type="dxa"/>
              <w:bottom w:w="90" w:type="dxa"/>
              <w:right w:w="150" w:type="dxa"/>
            </w:tcMar>
            <w:vAlign w:val="bottom"/>
            <w:hideMark/>
          </w:tcPr>
          <w:p w:rsidR="004318A0" w:rsidRDefault="004318A0">
            <w:pPr>
              <w:rPr>
                <w:rFonts w:ascii="Arial" w:hAnsi="Arial" w:cs="Arial"/>
                <w:sz w:val="18"/>
                <w:szCs w:val="18"/>
              </w:rPr>
            </w:pPr>
            <w:r>
              <w:rPr>
                <w:rFonts w:ascii="Arial" w:hAnsi="Arial" w:cs="Arial"/>
                <w:sz w:val="18"/>
                <w:szCs w:val="18"/>
              </w:rPr>
              <w:t>A wide range of behaviors which, due to their nature or severity, affect the campus or the workplace, generate a concern for personal safety, or result in physical injury.</w:t>
            </w:r>
          </w:p>
        </w:tc>
      </w:tr>
      <w:tr w:rsidR="004318A0" w:rsidTr="004318A0">
        <w:tc>
          <w:tcPr>
            <w:tcW w:w="0" w:type="auto"/>
            <w:tcBorders>
              <w:top w:val="single" w:sz="6" w:space="0" w:color="DDDDDD"/>
              <w:left w:val="outset" w:sz="2" w:space="0" w:color="auto"/>
              <w:bottom w:val="outset" w:sz="2" w:space="0" w:color="auto"/>
              <w:right w:val="outset" w:sz="2" w:space="0" w:color="auto"/>
            </w:tcBorders>
            <w:shd w:val="clear" w:color="auto" w:fill="F7F7F7"/>
            <w:tcMar>
              <w:top w:w="90" w:type="dxa"/>
              <w:left w:w="0" w:type="dxa"/>
              <w:bottom w:w="90" w:type="dxa"/>
              <w:right w:w="150" w:type="dxa"/>
            </w:tcMar>
            <w:vAlign w:val="bottom"/>
            <w:hideMark/>
          </w:tcPr>
          <w:p w:rsidR="004318A0" w:rsidRDefault="004318A0">
            <w:pPr>
              <w:rPr>
                <w:rFonts w:ascii="Arial" w:hAnsi="Arial" w:cs="Arial"/>
                <w:sz w:val="18"/>
                <w:szCs w:val="18"/>
              </w:rPr>
            </w:pPr>
            <w:r>
              <w:rPr>
                <w:rFonts w:ascii="Arial" w:hAnsi="Arial" w:cs="Arial"/>
                <w:sz w:val="18"/>
                <w:szCs w:val="18"/>
              </w:rPr>
              <w:t>Threat</w:t>
            </w:r>
          </w:p>
        </w:tc>
        <w:tc>
          <w:tcPr>
            <w:tcW w:w="0" w:type="auto"/>
            <w:tcBorders>
              <w:top w:val="single" w:sz="6" w:space="0" w:color="DDDDDD"/>
              <w:left w:val="outset" w:sz="2" w:space="0" w:color="auto"/>
              <w:bottom w:val="outset" w:sz="2" w:space="0" w:color="auto"/>
              <w:right w:val="outset" w:sz="2" w:space="0" w:color="auto"/>
            </w:tcBorders>
            <w:shd w:val="clear" w:color="auto" w:fill="F7F7F7"/>
            <w:tcMar>
              <w:top w:w="90" w:type="dxa"/>
              <w:left w:w="0" w:type="dxa"/>
              <w:bottom w:w="90" w:type="dxa"/>
              <w:right w:w="150" w:type="dxa"/>
            </w:tcMar>
            <w:vAlign w:val="bottom"/>
            <w:hideMark/>
          </w:tcPr>
          <w:p w:rsidR="004318A0" w:rsidRDefault="004318A0">
            <w:pPr>
              <w:rPr>
                <w:rFonts w:ascii="Arial" w:hAnsi="Arial" w:cs="Arial"/>
                <w:sz w:val="18"/>
                <w:szCs w:val="18"/>
              </w:rPr>
            </w:pPr>
            <w:r>
              <w:rPr>
                <w:rFonts w:ascii="Arial" w:hAnsi="Arial" w:cs="Arial"/>
                <w:sz w:val="18"/>
                <w:szCs w:val="18"/>
              </w:rPr>
              <w:t>An expression of intent to do physical or psychological harm or to act out violently against a person (or persons) or property that would lead to the reasonable belief that such harm will occur. The threat may be spoken, written, symbolic, implied, direct, or indirect.</w:t>
            </w:r>
          </w:p>
        </w:tc>
      </w:tr>
    </w:tbl>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sz w:val="18"/>
          <w:szCs w:val="18"/>
        </w:rPr>
        <w:t>Note: Certain Wake Tech policies predate the establishment of the process outlined below. They remain official college policies and will be expected to comply with the process in the future.</w:t>
      </w:r>
    </w:p>
    <w:p w:rsidR="004318A0" w:rsidRDefault="004318A0" w:rsidP="004318A0">
      <w:pPr>
        <w:rPr>
          <w:rFonts w:ascii="Arial" w:hAnsi="Arial" w:cs="Arial"/>
          <w:sz w:val="18"/>
          <w:szCs w:val="18"/>
        </w:rPr>
      </w:pPr>
    </w:p>
    <w:p w:rsidR="004318A0" w:rsidRDefault="004318A0" w:rsidP="004318A0">
      <w:pPr>
        <w:rPr>
          <w:rFonts w:ascii="Arial" w:hAnsi="Arial" w:cs="Arial"/>
          <w:b/>
          <w:bCs/>
          <w:sz w:val="18"/>
          <w:szCs w:val="18"/>
        </w:rPr>
      </w:pPr>
      <w:r>
        <w:rPr>
          <w:rFonts w:ascii="Arial" w:hAnsi="Arial" w:cs="Arial"/>
          <w:b/>
          <w:bCs/>
          <w:sz w:val="18"/>
          <w:szCs w:val="18"/>
        </w:rPr>
        <w:t>Procedures</w:t>
      </w:r>
    </w:p>
    <w:p w:rsidR="004318A0" w:rsidRDefault="004318A0" w:rsidP="004318A0">
      <w:pPr>
        <w:rPr>
          <w:rFonts w:ascii="Arial" w:hAnsi="Arial" w:cs="Arial"/>
          <w:sz w:val="18"/>
          <w:szCs w:val="18"/>
        </w:rPr>
      </w:pPr>
    </w:p>
    <w:p w:rsidR="004318A0" w:rsidRDefault="004318A0" w:rsidP="004318A0">
      <w:pPr>
        <w:rPr>
          <w:rFonts w:ascii="Arial" w:hAnsi="Arial" w:cs="Arial"/>
          <w:b/>
          <w:bCs/>
          <w:sz w:val="18"/>
          <w:szCs w:val="18"/>
        </w:rPr>
      </w:pPr>
      <w:r>
        <w:rPr>
          <w:rFonts w:ascii="Arial" w:hAnsi="Arial" w:cs="Arial"/>
          <w:b/>
          <w:bCs/>
          <w:sz w:val="18"/>
          <w:szCs w:val="18"/>
        </w:rPr>
        <w:t>Responsibilities</w:t>
      </w:r>
    </w:p>
    <w:p w:rsidR="004318A0" w:rsidRDefault="004318A0" w:rsidP="004318A0">
      <w:pPr>
        <w:rPr>
          <w:rFonts w:ascii="Arial" w:hAnsi="Arial" w:cs="Arial"/>
          <w:sz w:val="18"/>
          <w:szCs w:val="18"/>
        </w:rPr>
      </w:pPr>
    </w:p>
    <w:p w:rsidR="004318A0" w:rsidRDefault="004318A0" w:rsidP="004318A0">
      <w:pPr>
        <w:numPr>
          <w:ilvl w:val="0"/>
          <w:numId w:val="2"/>
        </w:numPr>
        <w:spacing w:after="200" w:line="276" w:lineRule="auto"/>
        <w:rPr>
          <w:rFonts w:ascii="Arial" w:hAnsi="Arial" w:cs="Arial"/>
          <w:sz w:val="18"/>
          <w:szCs w:val="18"/>
        </w:rPr>
      </w:pPr>
      <w:r>
        <w:rPr>
          <w:rFonts w:ascii="Arial" w:hAnsi="Arial" w:cs="Arial"/>
          <w:b/>
          <w:bCs/>
          <w:sz w:val="18"/>
          <w:szCs w:val="18"/>
        </w:rPr>
        <w:t>Faculty and Staff</w:t>
      </w:r>
      <w:r>
        <w:rPr>
          <w:rFonts w:ascii="Arial" w:hAnsi="Arial" w:cs="Arial"/>
          <w:sz w:val="18"/>
          <w:szCs w:val="18"/>
        </w:rPr>
        <w:t> – Faculty and staff members must be familiar with the threat assessment and violence prevention policy and must report violations of the policy to their supervisor or appropriate administrator and the Chief of Police. All employees are encouraged to be alert to the possibility of violence on the part of employees, former employees, students, contractors, and strangers. Employees who act in good faith to report threats, concerning behaviors, or violations of college policy will not be retaliated against or harassed. Deliberately false or misleading reports of violence will be considered unacceptable personal conduct, and the employee or student making such false or misleading reports will be subject to disciplinary action under Wake Tech disciplinary policy.</w:t>
      </w:r>
    </w:p>
    <w:p w:rsidR="004318A0" w:rsidRDefault="004318A0" w:rsidP="004318A0">
      <w:pPr>
        <w:numPr>
          <w:ilvl w:val="0"/>
          <w:numId w:val="2"/>
        </w:numPr>
        <w:spacing w:after="200" w:line="276" w:lineRule="auto"/>
        <w:rPr>
          <w:rFonts w:ascii="Arial" w:hAnsi="Arial" w:cs="Arial"/>
          <w:sz w:val="18"/>
          <w:szCs w:val="18"/>
        </w:rPr>
      </w:pPr>
      <w:r>
        <w:rPr>
          <w:rFonts w:ascii="Arial" w:hAnsi="Arial" w:cs="Arial"/>
          <w:b/>
          <w:bCs/>
          <w:sz w:val="18"/>
          <w:szCs w:val="18"/>
        </w:rPr>
        <w:lastRenderedPageBreak/>
        <w:t>Threat Assessment Team</w:t>
      </w:r>
      <w:r>
        <w:rPr>
          <w:rFonts w:ascii="Arial" w:hAnsi="Arial" w:cs="Arial"/>
          <w:sz w:val="18"/>
          <w:szCs w:val="18"/>
        </w:rPr>
        <w:t> – The responsibility for assessing potentially-threatening behaviors rests with the College Threat Assessment Team. In making assessments, the team may consult outside resources such as counselors, law enforcement officials, threat assessment professionals, mental health specialists, and others who might contribute to a successful resolution. The team will report findings from their assessments, including recommendations for appropriate interventions, to the college president or his designated representative. The Threat Assessment Team is composed of these college employees:</w:t>
      </w:r>
    </w:p>
    <w:p w:rsidR="004318A0" w:rsidRDefault="004318A0" w:rsidP="004318A0">
      <w:pPr>
        <w:numPr>
          <w:ilvl w:val="2"/>
          <w:numId w:val="2"/>
        </w:numPr>
        <w:spacing w:after="200" w:line="276" w:lineRule="auto"/>
        <w:rPr>
          <w:rFonts w:ascii="Arial" w:hAnsi="Arial" w:cs="Arial"/>
          <w:sz w:val="18"/>
          <w:szCs w:val="18"/>
        </w:rPr>
      </w:pPr>
      <w:r>
        <w:rPr>
          <w:rFonts w:ascii="Arial" w:hAnsi="Arial" w:cs="Arial"/>
          <w:sz w:val="18"/>
          <w:szCs w:val="18"/>
        </w:rPr>
        <w:t>Executive Vice President (Team Leader)</w:t>
      </w:r>
    </w:p>
    <w:p w:rsidR="004318A0" w:rsidRDefault="004318A0" w:rsidP="004318A0">
      <w:pPr>
        <w:numPr>
          <w:ilvl w:val="2"/>
          <w:numId w:val="2"/>
        </w:numPr>
        <w:spacing w:after="200" w:line="276" w:lineRule="auto"/>
        <w:rPr>
          <w:rFonts w:ascii="Arial" w:hAnsi="Arial" w:cs="Arial"/>
          <w:sz w:val="18"/>
          <w:szCs w:val="18"/>
        </w:rPr>
      </w:pPr>
      <w:r>
        <w:rPr>
          <w:rFonts w:ascii="Arial" w:hAnsi="Arial" w:cs="Arial"/>
          <w:sz w:val="18"/>
          <w:szCs w:val="18"/>
        </w:rPr>
        <w:t>Senior Vice President of Curriculum Education Services</w:t>
      </w:r>
    </w:p>
    <w:p w:rsidR="004318A0" w:rsidRDefault="004318A0" w:rsidP="004318A0">
      <w:pPr>
        <w:numPr>
          <w:ilvl w:val="2"/>
          <w:numId w:val="2"/>
        </w:numPr>
        <w:spacing w:after="200" w:line="276" w:lineRule="auto"/>
        <w:rPr>
          <w:rFonts w:ascii="Arial" w:hAnsi="Arial" w:cs="Arial"/>
          <w:sz w:val="18"/>
          <w:szCs w:val="18"/>
        </w:rPr>
      </w:pPr>
      <w:r>
        <w:rPr>
          <w:rFonts w:ascii="Arial" w:hAnsi="Arial" w:cs="Arial"/>
          <w:sz w:val="18"/>
          <w:szCs w:val="18"/>
        </w:rPr>
        <w:t>Vice President of Workforce Continuing Education Services</w:t>
      </w:r>
    </w:p>
    <w:p w:rsidR="004318A0" w:rsidRDefault="004318A0" w:rsidP="004318A0">
      <w:pPr>
        <w:numPr>
          <w:ilvl w:val="2"/>
          <w:numId w:val="2"/>
        </w:numPr>
        <w:spacing w:after="200" w:line="276" w:lineRule="auto"/>
        <w:rPr>
          <w:rFonts w:ascii="Arial" w:hAnsi="Arial" w:cs="Arial"/>
          <w:sz w:val="18"/>
          <w:szCs w:val="18"/>
        </w:rPr>
      </w:pPr>
      <w:r>
        <w:rPr>
          <w:rFonts w:ascii="Arial" w:hAnsi="Arial" w:cs="Arial"/>
          <w:sz w:val="18"/>
          <w:szCs w:val="18"/>
        </w:rPr>
        <w:t>General Counsel for the College</w:t>
      </w:r>
    </w:p>
    <w:p w:rsidR="004318A0" w:rsidRDefault="004318A0" w:rsidP="004318A0">
      <w:pPr>
        <w:numPr>
          <w:ilvl w:val="2"/>
          <w:numId w:val="2"/>
        </w:numPr>
        <w:spacing w:after="200" w:line="276" w:lineRule="auto"/>
        <w:rPr>
          <w:rFonts w:ascii="Arial" w:hAnsi="Arial" w:cs="Arial"/>
          <w:sz w:val="18"/>
          <w:szCs w:val="18"/>
        </w:rPr>
      </w:pPr>
      <w:r>
        <w:rPr>
          <w:rFonts w:ascii="Arial" w:hAnsi="Arial" w:cs="Arial"/>
          <w:sz w:val="18"/>
          <w:szCs w:val="18"/>
        </w:rPr>
        <w:t xml:space="preserve"> Conduct Officers</w:t>
      </w:r>
    </w:p>
    <w:p w:rsidR="004318A0" w:rsidRDefault="004318A0" w:rsidP="004318A0">
      <w:pPr>
        <w:numPr>
          <w:ilvl w:val="2"/>
          <w:numId w:val="2"/>
        </w:numPr>
        <w:spacing w:after="200" w:line="276" w:lineRule="auto"/>
        <w:rPr>
          <w:rFonts w:ascii="Arial" w:hAnsi="Arial" w:cs="Arial"/>
          <w:sz w:val="18"/>
          <w:szCs w:val="18"/>
        </w:rPr>
      </w:pPr>
      <w:r>
        <w:rPr>
          <w:rFonts w:ascii="Arial" w:hAnsi="Arial" w:cs="Arial"/>
          <w:sz w:val="18"/>
          <w:szCs w:val="18"/>
        </w:rPr>
        <w:t>Chief Human Resources Officer</w:t>
      </w:r>
    </w:p>
    <w:p w:rsidR="004318A0" w:rsidRDefault="004318A0" w:rsidP="004318A0">
      <w:pPr>
        <w:numPr>
          <w:ilvl w:val="2"/>
          <w:numId w:val="2"/>
        </w:numPr>
        <w:spacing w:after="200" w:line="276" w:lineRule="auto"/>
        <w:rPr>
          <w:rFonts w:ascii="Arial" w:hAnsi="Arial" w:cs="Arial"/>
          <w:sz w:val="18"/>
          <w:szCs w:val="18"/>
        </w:rPr>
      </w:pPr>
      <w:r>
        <w:rPr>
          <w:rFonts w:ascii="Arial" w:hAnsi="Arial" w:cs="Arial"/>
          <w:sz w:val="18"/>
          <w:szCs w:val="18"/>
        </w:rPr>
        <w:t>Chief of Police</w:t>
      </w:r>
    </w:p>
    <w:p w:rsidR="004318A0" w:rsidRDefault="004318A0" w:rsidP="004318A0">
      <w:pPr>
        <w:ind w:left="720"/>
        <w:rPr>
          <w:rFonts w:ascii="Arial" w:hAnsi="Arial" w:cs="Arial"/>
          <w:sz w:val="18"/>
          <w:szCs w:val="18"/>
        </w:rPr>
      </w:pPr>
      <w:r>
        <w:rPr>
          <w:rFonts w:ascii="Arial" w:hAnsi="Arial" w:cs="Arial"/>
          <w:b/>
          <w:sz w:val="18"/>
          <w:szCs w:val="18"/>
        </w:rPr>
        <w:t>Crisis Management Team</w:t>
      </w:r>
      <w:r>
        <w:rPr>
          <w:rFonts w:ascii="Arial" w:hAnsi="Arial" w:cs="Arial"/>
          <w:sz w:val="18"/>
          <w:szCs w:val="18"/>
        </w:rPr>
        <w:t xml:space="preserve"> – the Threat Assessment Team will recommend activation of Wake Tech’s Crisis Management Team when: </w:t>
      </w:r>
    </w:p>
    <w:p w:rsidR="004318A0" w:rsidRDefault="004318A0" w:rsidP="004318A0">
      <w:pPr>
        <w:ind w:left="2160"/>
        <w:rPr>
          <w:rFonts w:ascii="Arial" w:hAnsi="Arial" w:cs="Arial"/>
          <w:sz w:val="18"/>
          <w:szCs w:val="18"/>
        </w:rPr>
      </w:pPr>
    </w:p>
    <w:p w:rsidR="004318A0" w:rsidRDefault="004318A0" w:rsidP="004318A0">
      <w:pPr>
        <w:pStyle w:val="ListParagraph"/>
        <w:numPr>
          <w:ilvl w:val="0"/>
          <w:numId w:val="3"/>
        </w:numPr>
        <w:ind w:left="1170"/>
        <w:rPr>
          <w:rFonts w:ascii="Arial" w:hAnsi="Arial" w:cs="Arial"/>
          <w:sz w:val="18"/>
        </w:rPr>
      </w:pPr>
      <w:r>
        <w:rPr>
          <w:rFonts w:ascii="Arial" w:hAnsi="Arial" w:cs="Arial"/>
          <w:sz w:val="18"/>
        </w:rPr>
        <w:t>A situation poses imminent danger to a person or to the college; or</w:t>
      </w:r>
    </w:p>
    <w:p w:rsidR="004318A0" w:rsidRDefault="004318A0" w:rsidP="004318A0">
      <w:pPr>
        <w:pStyle w:val="ListParagraph"/>
        <w:numPr>
          <w:ilvl w:val="0"/>
          <w:numId w:val="3"/>
        </w:numPr>
        <w:ind w:left="1170"/>
      </w:pPr>
      <w:r>
        <w:rPr>
          <w:rFonts w:ascii="Arial" w:hAnsi="Arial" w:cs="Arial"/>
          <w:sz w:val="18"/>
        </w:rPr>
        <w:t xml:space="preserve">An act of violence occurs resulting in serious or fatal injuries to one or more campus members. </w:t>
      </w:r>
    </w:p>
    <w:p w:rsidR="004318A0" w:rsidRDefault="004318A0" w:rsidP="004318A0">
      <w:pPr>
        <w:ind w:left="450"/>
      </w:pPr>
      <w:r>
        <w:rPr>
          <w:rFonts w:ascii="Arial" w:hAnsi="Arial" w:cs="Arial"/>
          <w:sz w:val="18"/>
        </w:rPr>
        <w:t>The Crisis Management Team will consider the impact of the incident on the campus community and initiate appropriate debriefing, counseling, and support for victims, co-workers, students, and families.</w:t>
      </w:r>
    </w:p>
    <w:p w:rsidR="004318A0" w:rsidRDefault="004318A0" w:rsidP="004318A0">
      <w:pPr>
        <w:rPr>
          <w:rFonts w:ascii="Arial" w:hAnsi="Arial" w:cs="Arial"/>
          <w:b/>
          <w:bCs/>
          <w:sz w:val="18"/>
          <w:szCs w:val="18"/>
        </w:rPr>
      </w:pPr>
    </w:p>
    <w:p w:rsidR="004318A0" w:rsidRDefault="004318A0" w:rsidP="004318A0">
      <w:pPr>
        <w:rPr>
          <w:rFonts w:ascii="Arial" w:hAnsi="Arial" w:cs="Arial"/>
          <w:sz w:val="18"/>
          <w:szCs w:val="18"/>
        </w:rPr>
      </w:pPr>
      <w:r>
        <w:rPr>
          <w:rFonts w:ascii="Arial" w:hAnsi="Arial" w:cs="Arial"/>
          <w:b/>
          <w:bCs/>
          <w:sz w:val="18"/>
          <w:szCs w:val="18"/>
        </w:rPr>
        <w:t>Principle</w:t>
      </w:r>
      <w:r>
        <w:rPr>
          <w:rFonts w:ascii="Arial" w:hAnsi="Arial" w:cs="Arial"/>
          <w:sz w:val="18"/>
          <w:szCs w:val="18"/>
        </w:rPr>
        <w:br/>
      </w:r>
      <w:r>
        <w:rPr>
          <w:rFonts w:ascii="Arial" w:hAnsi="Arial" w:cs="Arial"/>
          <w:b/>
          <w:bCs/>
          <w:sz w:val="18"/>
          <w:szCs w:val="18"/>
        </w:rPr>
        <w:br/>
        <w:t>Fostering a Culture of Respect</w:t>
      </w:r>
      <w:r>
        <w:rPr>
          <w:rFonts w:ascii="Arial" w:hAnsi="Arial" w:cs="Arial"/>
          <w:sz w:val="18"/>
          <w:szCs w:val="18"/>
        </w:rPr>
        <w:br/>
      </w:r>
      <w:proofErr w:type="gramStart"/>
      <w:r>
        <w:rPr>
          <w:rFonts w:ascii="Arial" w:hAnsi="Arial" w:cs="Arial"/>
          <w:sz w:val="18"/>
          <w:szCs w:val="18"/>
        </w:rPr>
        <w:t>An</w:t>
      </w:r>
      <w:proofErr w:type="gramEnd"/>
      <w:r>
        <w:rPr>
          <w:rFonts w:ascii="Arial" w:hAnsi="Arial" w:cs="Arial"/>
          <w:sz w:val="18"/>
          <w:szCs w:val="18"/>
        </w:rPr>
        <w:t xml:space="preserve"> educational setting in which everyone respects everyone else promotes safety. It provides a place for open discussion in which diversity and differences are respected, communication is encouraged and supported, and conflict is managed and mediated constructively. Problems come to light earlier and can be addressed before they become serious or lead to violence; consequently, the potential for violence diminishes.</w:t>
      </w:r>
    </w:p>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b/>
          <w:bCs/>
          <w:sz w:val="18"/>
          <w:szCs w:val="18"/>
        </w:rPr>
        <w:t>Reporting Concerning Behaviors </w:t>
      </w:r>
      <w:r>
        <w:rPr>
          <w:rFonts w:ascii="Arial" w:hAnsi="Arial" w:cs="Arial"/>
          <w:sz w:val="18"/>
          <w:szCs w:val="18"/>
        </w:rPr>
        <w:br/>
        <w:t>For the safety of the college community, it is imperative that anyone aware of concerning behavior or perceived threats – from firsthand knowledge, written or verbal communications, or any other source – report it immediately to the Wake Tech Chief of Police. Those reporting may identify themselves or remain anonymous. To the extent allowed by law and policy</w:t>
      </w:r>
      <w:proofErr w:type="gramStart"/>
      <w:r>
        <w:rPr>
          <w:rFonts w:ascii="Arial" w:hAnsi="Arial" w:cs="Arial"/>
          <w:sz w:val="18"/>
          <w:szCs w:val="18"/>
        </w:rPr>
        <w:t>,  any</w:t>
      </w:r>
      <w:proofErr w:type="gramEnd"/>
      <w:r>
        <w:rPr>
          <w:rFonts w:ascii="Arial" w:hAnsi="Arial" w:cs="Arial"/>
          <w:sz w:val="18"/>
          <w:szCs w:val="18"/>
        </w:rPr>
        <w:t xml:space="preserve"> identification provided will remain confidential and will be used only by security officials for follow-up, if necessary. Those choosing to leave an anonymous report should include as much detail as possible to make sure security officials can proceed with an investigation. The Chief of Police will address all reports as quickly as possible and convene the Threat Assessment Team when appropriate. If a report suggests that a law has been violated or that violence is imminent, the Chief will immediately refer it to the Campus Police Department for investigation and crisis response measures, as they deem appropriate.</w:t>
      </w:r>
    </w:p>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b/>
          <w:bCs/>
          <w:sz w:val="18"/>
          <w:szCs w:val="18"/>
        </w:rPr>
        <w:t>Identifying Concerning Behaviors</w:t>
      </w:r>
      <w:r>
        <w:rPr>
          <w:rFonts w:ascii="Arial" w:hAnsi="Arial" w:cs="Arial"/>
          <w:sz w:val="18"/>
          <w:szCs w:val="18"/>
        </w:rPr>
        <w:br/>
        <w:t>The Threat Assessment Team will focus its efforts on formulating strategies for preventing targeted violence, in two principle areas:</w:t>
      </w:r>
    </w:p>
    <w:p w:rsidR="004318A0" w:rsidRDefault="004318A0" w:rsidP="004318A0">
      <w:pPr>
        <w:numPr>
          <w:ilvl w:val="0"/>
          <w:numId w:val="4"/>
        </w:numPr>
        <w:spacing w:after="200" w:line="276" w:lineRule="auto"/>
        <w:rPr>
          <w:rFonts w:ascii="Arial" w:hAnsi="Arial" w:cs="Arial"/>
          <w:sz w:val="18"/>
          <w:szCs w:val="18"/>
        </w:rPr>
      </w:pPr>
      <w:r>
        <w:rPr>
          <w:rFonts w:ascii="Arial" w:hAnsi="Arial" w:cs="Arial"/>
          <w:sz w:val="18"/>
          <w:szCs w:val="18"/>
        </w:rPr>
        <w:t>Developing the capacity to monitor and evaluate information that might indicate a risk of targeted attack, and</w:t>
      </w:r>
    </w:p>
    <w:p w:rsidR="004318A0" w:rsidRDefault="004318A0" w:rsidP="004318A0">
      <w:pPr>
        <w:numPr>
          <w:ilvl w:val="0"/>
          <w:numId w:val="4"/>
        </w:numPr>
        <w:spacing w:after="200" w:line="276" w:lineRule="auto"/>
        <w:rPr>
          <w:rFonts w:ascii="Arial" w:hAnsi="Arial" w:cs="Arial"/>
          <w:sz w:val="18"/>
          <w:szCs w:val="18"/>
        </w:rPr>
      </w:pPr>
      <w:r>
        <w:rPr>
          <w:rFonts w:ascii="Arial" w:hAnsi="Arial" w:cs="Arial"/>
          <w:sz w:val="18"/>
          <w:szCs w:val="18"/>
        </w:rPr>
        <w:t>Using the results of threat assessments to develop strategies for preventing attacks.</w:t>
      </w:r>
    </w:p>
    <w:p w:rsidR="004318A0" w:rsidRDefault="004318A0" w:rsidP="004318A0">
      <w:pPr>
        <w:rPr>
          <w:rFonts w:ascii="Arial" w:hAnsi="Arial" w:cs="Arial"/>
          <w:sz w:val="18"/>
          <w:szCs w:val="18"/>
        </w:rPr>
      </w:pPr>
      <w:r>
        <w:rPr>
          <w:rFonts w:ascii="Arial" w:hAnsi="Arial" w:cs="Arial"/>
          <w:sz w:val="18"/>
          <w:szCs w:val="18"/>
        </w:rPr>
        <w:t xml:space="preserve">If the team determines through inquiry that an identified behavior involving a student is non-threatening, the matter will be referred to the Conduct Officers for appropriate action. A Behavior of Concern Assessment Team (BAT) has been implemented to assess student behaviors of concern and low-level threats. Non-threatening incidents involving </w:t>
      </w:r>
      <w:r>
        <w:rPr>
          <w:rFonts w:ascii="Arial" w:hAnsi="Arial" w:cs="Arial"/>
          <w:sz w:val="18"/>
          <w:szCs w:val="18"/>
        </w:rPr>
        <w:lastRenderedPageBreak/>
        <w:t>college employees will be directed to the Director of Human Resources. If the team concludes that a law has been violated or that violence is imminent, it will immediately refer the matter to law enforcement officials.</w:t>
      </w:r>
    </w:p>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b/>
          <w:bCs/>
          <w:sz w:val="18"/>
          <w:szCs w:val="18"/>
        </w:rPr>
        <w:t>The Threat Assessment Process</w:t>
      </w:r>
      <w:r>
        <w:rPr>
          <w:rFonts w:ascii="Arial" w:hAnsi="Arial" w:cs="Arial"/>
          <w:sz w:val="18"/>
          <w:szCs w:val="18"/>
        </w:rPr>
        <w:br/>
        <w:t>Threat assessment will be fact-based, relying primarily on the appraisal of behaviors, rather than on stated threats or traits, as the basis for determining if there is cause for concern. The fact-based assessment considers every aspect of the person of concern and is based on the totality of what is known about that person, in four major areas:</w:t>
      </w:r>
      <w:r>
        <w:rPr>
          <w:rFonts w:ascii="Arial" w:hAnsi="Arial" w:cs="Arial"/>
          <w:b/>
          <w:bCs/>
          <w:sz w:val="18"/>
          <w:szCs w:val="18"/>
        </w:rPr>
        <w:t> 1) </w:t>
      </w:r>
      <w:r>
        <w:rPr>
          <w:rFonts w:ascii="Arial" w:hAnsi="Arial" w:cs="Arial"/>
          <w:sz w:val="18"/>
          <w:szCs w:val="18"/>
        </w:rPr>
        <w:t>personality,</w:t>
      </w:r>
      <w:r>
        <w:rPr>
          <w:rFonts w:ascii="Arial" w:hAnsi="Arial" w:cs="Arial"/>
          <w:b/>
          <w:bCs/>
          <w:sz w:val="18"/>
          <w:szCs w:val="18"/>
        </w:rPr>
        <w:t> 2)</w:t>
      </w:r>
      <w:r>
        <w:rPr>
          <w:rFonts w:ascii="Arial" w:hAnsi="Arial" w:cs="Arial"/>
          <w:sz w:val="18"/>
          <w:szCs w:val="18"/>
        </w:rPr>
        <w:t> family dynamics, </w:t>
      </w:r>
      <w:r>
        <w:rPr>
          <w:rFonts w:ascii="Arial" w:hAnsi="Arial" w:cs="Arial"/>
          <w:b/>
          <w:bCs/>
          <w:sz w:val="18"/>
          <w:szCs w:val="18"/>
        </w:rPr>
        <w:t>3)</w:t>
      </w:r>
      <w:r>
        <w:rPr>
          <w:rFonts w:ascii="Arial" w:hAnsi="Arial" w:cs="Arial"/>
          <w:sz w:val="18"/>
          <w:szCs w:val="18"/>
        </w:rPr>
        <w:t> school dynamics (and the person’s role in those dynamics), and </w:t>
      </w:r>
      <w:r>
        <w:rPr>
          <w:rFonts w:ascii="Arial" w:hAnsi="Arial" w:cs="Arial"/>
          <w:b/>
          <w:bCs/>
          <w:sz w:val="18"/>
          <w:szCs w:val="18"/>
        </w:rPr>
        <w:t>4)</w:t>
      </w:r>
      <w:r>
        <w:rPr>
          <w:rFonts w:ascii="Arial" w:hAnsi="Arial" w:cs="Arial"/>
          <w:sz w:val="18"/>
          <w:szCs w:val="18"/>
        </w:rPr>
        <w:t> social dynamics.</w:t>
      </w:r>
    </w:p>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b/>
          <w:bCs/>
          <w:sz w:val="18"/>
          <w:szCs w:val="18"/>
        </w:rPr>
        <w:t>Examples of Concerning Behaviors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Acts of violence</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Threats (direct, indirect, implied, veiled)</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Harassment</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Intimidation</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Stalking, surveillance, or unwanted pursuit</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Mental health concerns, including voluntary or involuntary commitment</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Weapons on campus or recent acquisition of firearms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Special interest in or identification with the military, survivalist groups, or weapons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Homicidal/suicidal thoughts or actions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Belligerent or angry outbursts, depression, or severe mood swings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Preoccupation with violent themes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Apparent obsession with someone</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Domestic disputes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Intentional destruction of personal property</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Evidence of substance abuse</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Symptoms of paranoia</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Refusal to accept employment termination</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One-sided contact with others following employment termination</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History of conflict with others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Documenting the activities of others when not required to do so</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Unusual verbal or written communications to others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Repeated complaints about working conditions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Excessive blaming of others</w:t>
      </w:r>
    </w:p>
    <w:p w:rsidR="004318A0" w:rsidRDefault="004318A0" w:rsidP="004318A0">
      <w:pPr>
        <w:numPr>
          <w:ilvl w:val="0"/>
          <w:numId w:val="5"/>
        </w:numPr>
        <w:spacing w:line="360" w:lineRule="auto"/>
        <w:rPr>
          <w:rFonts w:ascii="Arial" w:hAnsi="Arial" w:cs="Arial"/>
          <w:sz w:val="18"/>
          <w:szCs w:val="18"/>
        </w:rPr>
      </w:pPr>
      <w:r>
        <w:rPr>
          <w:rFonts w:ascii="Arial" w:hAnsi="Arial" w:cs="Arial"/>
          <w:sz w:val="18"/>
          <w:szCs w:val="18"/>
        </w:rPr>
        <w:t>Excessive or intimidating references to workplace violence incidents or other mass murders</w:t>
      </w:r>
    </w:p>
    <w:p w:rsidR="004318A0" w:rsidRDefault="004318A0" w:rsidP="004318A0">
      <w:pPr>
        <w:rPr>
          <w:rFonts w:ascii="Arial" w:hAnsi="Arial" w:cs="Arial"/>
          <w:b/>
          <w:bCs/>
          <w:sz w:val="18"/>
          <w:szCs w:val="18"/>
        </w:rPr>
      </w:pPr>
      <w:r>
        <w:rPr>
          <w:rFonts w:ascii="Arial" w:hAnsi="Arial" w:cs="Arial"/>
          <w:b/>
          <w:bCs/>
          <w:sz w:val="18"/>
          <w:szCs w:val="18"/>
        </w:rPr>
        <w:t>Reporting Student Behaviors of Concern and Low-Level Threats to the Conduct Officers</w:t>
      </w:r>
    </w:p>
    <w:p w:rsidR="004318A0" w:rsidRDefault="004318A0" w:rsidP="004318A0">
      <w:pPr>
        <w:rPr>
          <w:rFonts w:ascii="Arial" w:hAnsi="Arial" w:cs="Arial"/>
          <w:sz w:val="18"/>
          <w:szCs w:val="18"/>
        </w:rPr>
      </w:pPr>
      <w:r>
        <w:rPr>
          <w:rFonts w:ascii="Arial" w:hAnsi="Arial" w:cs="Arial"/>
          <w:sz w:val="18"/>
          <w:szCs w:val="18"/>
        </w:rPr>
        <w:t>A report should be made to the Conduct Officers if students display behaviors that indicate a concern, including but not limited to:</w:t>
      </w:r>
    </w:p>
    <w:p w:rsidR="004318A0" w:rsidRDefault="004318A0" w:rsidP="004318A0">
      <w:pPr>
        <w:rPr>
          <w:rFonts w:ascii="Arial" w:hAnsi="Arial" w:cs="Arial"/>
          <w:sz w:val="18"/>
          <w:szCs w:val="18"/>
        </w:rPr>
      </w:pPr>
    </w:p>
    <w:p w:rsidR="004318A0" w:rsidRDefault="004318A0" w:rsidP="004318A0">
      <w:pPr>
        <w:numPr>
          <w:ilvl w:val="0"/>
          <w:numId w:val="6"/>
        </w:numPr>
        <w:rPr>
          <w:rFonts w:ascii="Arial" w:hAnsi="Arial" w:cs="Arial"/>
          <w:sz w:val="18"/>
          <w:szCs w:val="18"/>
          <w:lang w:val="en"/>
        </w:rPr>
      </w:pPr>
      <w:r>
        <w:rPr>
          <w:rFonts w:ascii="Arial" w:hAnsi="Arial" w:cs="Arial"/>
          <w:sz w:val="18"/>
          <w:szCs w:val="18"/>
        </w:rPr>
        <w:t>self-injury</w:t>
      </w:r>
    </w:p>
    <w:p w:rsidR="004318A0" w:rsidRDefault="004318A0" w:rsidP="004318A0">
      <w:pPr>
        <w:numPr>
          <w:ilvl w:val="0"/>
          <w:numId w:val="6"/>
        </w:numPr>
        <w:rPr>
          <w:rFonts w:ascii="Arial" w:hAnsi="Arial" w:cs="Arial"/>
          <w:sz w:val="18"/>
          <w:szCs w:val="18"/>
          <w:lang w:val="en"/>
        </w:rPr>
      </w:pPr>
      <w:r>
        <w:rPr>
          <w:rFonts w:ascii="Arial" w:hAnsi="Arial" w:cs="Arial"/>
          <w:sz w:val="18"/>
          <w:szCs w:val="18"/>
        </w:rPr>
        <w:t>suicidal ideations</w:t>
      </w:r>
    </w:p>
    <w:p w:rsidR="004318A0" w:rsidRDefault="004318A0" w:rsidP="004318A0">
      <w:pPr>
        <w:numPr>
          <w:ilvl w:val="0"/>
          <w:numId w:val="6"/>
        </w:numPr>
        <w:rPr>
          <w:rFonts w:ascii="Arial" w:hAnsi="Arial" w:cs="Arial"/>
          <w:sz w:val="18"/>
          <w:szCs w:val="18"/>
          <w:lang w:val="en"/>
        </w:rPr>
      </w:pPr>
      <w:r>
        <w:rPr>
          <w:rFonts w:ascii="Arial" w:hAnsi="Arial" w:cs="Arial"/>
          <w:sz w:val="18"/>
          <w:szCs w:val="18"/>
        </w:rPr>
        <w:t xml:space="preserve">uttering threatening words or displaying threatening actions </w:t>
      </w:r>
    </w:p>
    <w:p w:rsidR="004318A0" w:rsidRDefault="004318A0" w:rsidP="004318A0">
      <w:pPr>
        <w:numPr>
          <w:ilvl w:val="0"/>
          <w:numId w:val="6"/>
        </w:numPr>
        <w:rPr>
          <w:rFonts w:ascii="Arial" w:hAnsi="Arial" w:cs="Arial"/>
          <w:sz w:val="18"/>
          <w:szCs w:val="18"/>
          <w:lang w:val="en"/>
        </w:rPr>
      </w:pPr>
      <w:r>
        <w:rPr>
          <w:rFonts w:ascii="Arial" w:hAnsi="Arial" w:cs="Arial"/>
          <w:sz w:val="18"/>
          <w:szCs w:val="18"/>
        </w:rPr>
        <w:t xml:space="preserve">writings that clearly communicate intentions to harm self or others </w:t>
      </w:r>
    </w:p>
    <w:p w:rsidR="004318A0" w:rsidRDefault="004318A0" w:rsidP="004318A0">
      <w:pPr>
        <w:numPr>
          <w:ilvl w:val="0"/>
          <w:numId w:val="6"/>
        </w:numPr>
        <w:rPr>
          <w:rFonts w:ascii="Arial" w:hAnsi="Arial" w:cs="Arial"/>
          <w:sz w:val="18"/>
          <w:szCs w:val="18"/>
          <w:lang w:val="en"/>
        </w:rPr>
      </w:pPr>
      <w:r>
        <w:rPr>
          <w:rFonts w:ascii="Arial" w:hAnsi="Arial" w:cs="Arial"/>
          <w:sz w:val="18"/>
          <w:szCs w:val="18"/>
        </w:rPr>
        <w:t xml:space="preserve">actions that endanger the health, safety, or well-being of any member of the college community or its guests  </w:t>
      </w:r>
    </w:p>
    <w:p w:rsidR="004318A0" w:rsidRDefault="004318A0" w:rsidP="004318A0">
      <w:pPr>
        <w:rPr>
          <w:rFonts w:ascii="Arial" w:hAnsi="Arial" w:cs="Arial"/>
          <w:sz w:val="18"/>
          <w:szCs w:val="18"/>
        </w:rPr>
      </w:pPr>
    </w:p>
    <w:p w:rsidR="004318A0" w:rsidRDefault="004318A0" w:rsidP="004318A0">
      <w:pPr>
        <w:rPr>
          <w:rFonts w:ascii="Arial" w:hAnsi="Arial" w:cs="Arial"/>
          <w:b/>
          <w:sz w:val="18"/>
          <w:szCs w:val="18"/>
          <w:lang w:val="en"/>
        </w:rPr>
      </w:pPr>
      <w:r>
        <w:rPr>
          <w:rFonts w:ascii="Arial" w:hAnsi="Arial" w:cs="Arial"/>
          <w:b/>
          <w:sz w:val="18"/>
          <w:szCs w:val="18"/>
          <w:lang w:val="en"/>
        </w:rPr>
        <w:t>Note:</w:t>
      </w:r>
      <w:r>
        <w:rPr>
          <w:rFonts w:ascii="Arial" w:hAnsi="Arial" w:cs="Arial"/>
          <w:sz w:val="18"/>
          <w:szCs w:val="18"/>
          <w:lang w:val="en"/>
        </w:rPr>
        <w:t xml:space="preserve"> If the behavior constitutes an </w:t>
      </w:r>
      <w:r>
        <w:rPr>
          <w:rFonts w:ascii="Arial" w:hAnsi="Arial" w:cs="Arial"/>
          <w:b/>
          <w:sz w:val="18"/>
          <w:szCs w:val="18"/>
          <w:lang w:val="en"/>
        </w:rPr>
        <w:t>emergency</w:t>
      </w:r>
      <w:r>
        <w:rPr>
          <w:rFonts w:ascii="Arial" w:hAnsi="Arial" w:cs="Arial"/>
          <w:color w:val="FF0000"/>
          <w:sz w:val="18"/>
          <w:szCs w:val="18"/>
          <w:lang w:val="en"/>
        </w:rPr>
        <w:t xml:space="preserve"> </w:t>
      </w:r>
      <w:r>
        <w:rPr>
          <w:rFonts w:ascii="Arial" w:hAnsi="Arial" w:cs="Arial"/>
          <w:sz w:val="18"/>
          <w:szCs w:val="18"/>
          <w:lang w:val="en"/>
        </w:rPr>
        <w:t xml:space="preserve">or needs immediate attention, contact </w:t>
      </w:r>
      <w:r>
        <w:rPr>
          <w:rFonts w:ascii="Arial" w:hAnsi="Arial" w:cs="Arial"/>
          <w:b/>
          <w:sz w:val="18"/>
          <w:szCs w:val="18"/>
          <w:lang w:val="en"/>
        </w:rPr>
        <w:t>Campus Police at 919-866-5911 (65911 from any campus phone).</w:t>
      </w:r>
    </w:p>
    <w:p w:rsidR="004318A0" w:rsidRDefault="004318A0" w:rsidP="004318A0">
      <w:pPr>
        <w:rPr>
          <w:rFonts w:ascii="Arial" w:hAnsi="Arial" w:cs="Arial"/>
          <w:b/>
          <w:sz w:val="18"/>
          <w:szCs w:val="18"/>
          <w:lang w:val="en"/>
        </w:rPr>
      </w:pPr>
    </w:p>
    <w:p w:rsidR="004318A0" w:rsidRDefault="004318A0" w:rsidP="004318A0">
      <w:pPr>
        <w:rPr>
          <w:rFonts w:ascii="Arial" w:hAnsi="Arial" w:cs="Arial"/>
          <w:b/>
          <w:sz w:val="18"/>
          <w:szCs w:val="18"/>
        </w:rPr>
      </w:pPr>
      <w:r>
        <w:rPr>
          <w:rFonts w:ascii="Arial" w:hAnsi="Arial" w:cs="Arial"/>
          <w:sz w:val="18"/>
          <w:szCs w:val="18"/>
        </w:rPr>
        <w:t xml:space="preserve">If the behavior is clearly a Student Code Violation, complete the </w:t>
      </w:r>
      <w:r>
        <w:rPr>
          <w:rFonts w:ascii="Arial" w:hAnsi="Arial" w:cs="Arial"/>
          <w:b/>
          <w:sz w:val="18"/>
          <w:szCs w:val="18"/>
        </w:rPr>
        <w:t xml:space="preserve">Student Code Violation Form. </w:t>
      </w:r>
    </w:p>
    <w:p w:rsidR="004318A0" w:rsidRDefault="004318A0" w:rsidP="004318A0">
      <w:pPr>
        <w:ind w:left="405"/>
        <w:rPr>
          <w:rFonts w:ascii="Arial" w:hAnsi="Arial" w:cs="Arial"/>
          <w:sz w:val="18"/>
          <w:szCs w:val="18"/>
          <w:lang w:val="en"/>
        </w:rPr>
      </w:pPr>
    </w:p>
    <w:p w:rsidR="004318A0" w:rsidRDefault="004318A0" w:rsidP="004318A0">
      <w:pPr>
        <w:spacing w:after="200" w:line="276" w:lineRule="auto"/>
        <w:contextualSpacing/>
        <w:rPr>
          <w:rFonts w:ascii="Arial" w:hAnsi="Arial" w:cs="Arial"/>
          <w:b/>
          <w:sz w:val="18"/>
          <w:szCs w:val="18"/>
        </w:rPr>
      </w:pPr>
      <w:r>
        <w:rPr>
          <w:rFonts w:ascii="Arial" w:hAnsi="Arial" w:cs="Arial"/>
          <w:b/>
          <w:sz w:val="18"/>
          <w:szCs w:val="18"/>
        </w:rPr>
        <w:t>Faculty and Staff</w:t>
      </w:r>
    </w:p>
    <w:p w:rsidR="004318A0" w:rsidRDefault="004318A0" w:rsidP="004318A0">
      <w:pPr>
        <w:spacing w:after="120"/>
        <w:contextualSpacing/>
        <w:rPr>
          <w:rFonts w:ascii="Arial" w:hAnsi="Arial" w:cs="Arial"/>
          <w:sz w:val="18"/>
          <w:szCs w:val="18"/>
        </w:rPr>
      </w:pPr>
      <w:r>
        <w:rPr>
          <w:rFonts w:ascii="Arial" w:hAnsi="Arial" w:cs="Arial"/>
          <w:sz w:val="18"/>
          <w:szCs w:val="18"/>
        </w:rPr>
        <w:t>When a behavior of concern takes place in which a student is alleged to have shown concerning behaviors, these steps must be followed by the reporting instructor or other college official:</w:t>
      </w:r>
    </w:p>
    <w:p w:rsidR="004318A0" w:rsidRDefault="004318A0" w:rsidP="004318A0">
      <w:pPr>
        <w:spacing w:after="120"/>
        <w:contextualSpacing/>
        <w:rPr>
          <w:rFonts w:ascii="Arial" w:hAnsi="Arial" w:cs="Arial"/>
          <w:sz w:val="18"/>
          <w:szCs w:val="18"/>
        </w:rPr>
      </w:pPr>
    </w:p>
    <w:p w:rsidR="004318A0" w:rsidRDefault="004318A0" w:rsidP="004318A0">
      <w:pPr>
        <w:pStyle w:val="ListParagraph"/>
        <w:numPr>
          <w:ilvl w:val="0"/>
          <w:numId w:val="7"/>
        </w:numPr>
        <w:spacing w:after="120"/>
        <w:rPr>
          <w:rFonts w:ascii="Arial" w:hAnsi="Arial" w:cs="Arial"/>
          <w:sz w:val="18"/>
          <w:szCs w:val="18"/>
        </w:rPr>
      </w:pPr>
      <w:r>
        <w:rPr>
          <w:rFonts w:ascii="Arial" w:hAnsi="Arial" w:cs="Arial"/>
          <w:sz w:val="18"/>
          <w:szCs w:val="18"/>
        </w:rPr>
        <w:t>If the behavior of concern that the student is displaying or has displayed is not an emergency, faculty/staff will:</w:t>
      </w:r>
    </w:p>
    <w:p w:rsidR="004318A0" w:rsidRDefault="004318A0" w:rsidP="004318A0">
      <w:pPr>
        <w:pStyle w:val="ListParagraph"/>
        <w:numPr>
          <w:ilvl w:val="0"/>
          <w:numId w:val="8"/>
        </w:numPr>
        <w:spacing w:after="120"/>
        <w:rPr>
          <w:rFonts w:ascii="Arial" w:hAnsi="Arial" w:cs="Arial"/>
          <w:color w:val="555555"/>
          <w:sz w:val="18"/>
          <w:szCs w:val="18"/>
          <w:lang w:val="en"/>
        </w:rPr>
      </w:pPr>
      <w:r>
        <w:rPr>
          <w:rFonts w:ascii="Arial" w:hAnsi="Arial" w:cs="Arial"/>
          <w:sz w:val="18"/>
          <w:szCs w:val="18"/>
        </w:rPr>
        <w:t xml:space="preserve">Log on to Eagles’ Nest, </w:t>
      </w:r>
      <w:hyperlink r:id="rId5" w:tgtFrame="_blank" w:history="1">
        <w:r>
          <w:rPr>
            <w:rStyle w:val="Hyperlink"/>
            <w:rFonts w:ascii="Arial" w:hAnsi="Arial" w:cs="Arial"/>
            <w:color w:val="auto"/>
            <w:sz w:val="18"/>
            <w:szCs w:val="18"/>
            <w:u w:val="none"/>
            <w:lang w:val="en"/>
          </w:rPr>
          <w:t>http://eaglesnest.waketech.edu</w:t>
        </w:r>
      </w:hyperlink>
    </w:p>
    <w:p w:rsidR="004318A0" w:rsidRDefault="004318A0" w:rsidP="004318A0">
      <w:pPr>
        <w:pStyle w:val="ListParagraph"/>
        <w:numPr>
          <w:ilvl w:val="0"/>
          <w:numId w:val="8"/>
        </w:numPr>
        <w:spacing w:after="120"/>
        <w:rPr>
          <w:rFonts w:ascii="Arial" w:eastAsia="Times New Roman" w:hAnsi="Arial" w:cs="Arial"/>
          <w:sz w:val="18"/>
          <w:szCs w:val="18"/>
          <w:lang w:val="en"/>
        </w:rPr>
      </w:pPr>
      <w:r>
        <w:rPr>
          <w:rFonts w:ascii="Arial" w:eastAsia="Times New Roman" w:hAnsi="Arial" w:cs="Arial"/>
          <w:sz w:val="18"/>
          <w:szCs w:val="18"/>
          <w:lang w:val="en"/>
        </w:rPr>
        <w:t>Go to Forms and click on the sub-heading Student Services Forms. The Behavior</w:t>
      </w:r>
      <w:r>
        <w:rPr>
          <w:rFonts w:ascii="Arial" w:eastAsia="Times New Roman" w:hAnsi="Arial" w:cs="Arial"/>
          <w:color w:val="000000"/>
          <w:sz w:val="18"/>
          <w:szCs w:val="18"/>
          <w:lang w:val="en"/>
        </w:rPr>
        <w:t xml:space="preserve"> </w:t>
      </w:r>
      <w:r>
        <w:rPr>
          <w:rFonts w:ascii="Arial" w:eastAsia="Times New Roman" w:hAnsi="Arial" w:cs="Arial"/>
          <w:sz w:val="18"/>
          <w:szCs w:val="18"/>
          <w:lang w:val="en"/>
        </w:rPr>
        <w:t xml:space="preserve">of Concern &amp; Threat Reporting Form is listed under the Conduct heading. </w:t>
      </w:r>
    </w:p>
    <w:p w:rsidR="004318A0" w:rsidRDefault="004318A0" w:rsidP="004318A0">
      <w:pPr>
        <w:pStyle w:val="ListParagraph"/>
        <w:numPr>
          <w:ilvl w:val="0"/>
          <w:numId w:val="8"/>
        </w:numPr>
        <w:spacing w:after="120"/>
        <w:rPr>
          <w:rFonts w:ascii="Arial" w:eastAsia="Times New Roman" w:hAnsi="Arial" w:cs="Arial"/>
          <w:sz w:val="18"/>
          <w:szCs w:val="18"/>
          <w:lang w:val="en"/>
        </w:rPr>
      </w:pPr>
      <w:r>
        <w:rPr>
          <w:rFonts w:ascii="Arial" w:eastAsia="Times New Roman" w:hAnsi="Arial" w:cs="Arial"/>
          <w:sz w:val="18"/>
          <w:szCs w:val="18"/>
          <w:lang w:val="en"/>
        </w:rPr>
        <w:t>Complete the form in its entirety and submit the form electronically.</w:t>
      </w:r>
    </w:p>
    <w:p w:rsidR="004318A0" w:rsidRDefault="004318A0" w:rsidP="004318A0">
      <w:pPr>
        <w:pStyle w:val="ListParagraph"/>
        <w:numPr>
          <w:ilvl w:val="0"/>
          <w:numId w:val="7"/>
        </w:numPr>
        <w:spacing w:after="120"/>
        <w:rPr>
          <w:rFonts w:ascii="Arial" w:hAnsi="Arial" w:cs="Arial"/>
          <w:sz w:val="18"/>
          <w:szCs w:val="18"/>
        </w:rPr>
      </w:pPr>
      <w:r>
        <w:rPr>
          <w:rFonts w:ascii="Arial" w:hAnsi="Arial" w:cs="Arial"/>
          <w:sz w:val="18"/>
          <w:szCs w:val="18"/>
          <w:lang w:val="en"/>
        </w:rPr>
        <w:t>A Conduct Officer will review the report and make a determination on the referral of the report. If the report is a Behavior of Concern and not a Student Code Violation, members of the Behavior Assessment Team (BAT) will schedule a meeting to discuss the case within five (5) business days.</w:t>
      </w:r>
    </w:p>
    <w:p w:rsidR="004318A0" w:rsidRDefault="004318A0" w:rsidP="004318A0">
      <w:pPr>
        <w:pStyle w:val="ListParagraph"/>
        <w:numPr>
          <w:ilvl w:val="0"/>
          <w:numId w:val="7"/>
        </w:numPr>
        <w:spacing w:after="120"/>
        <w:rPr>
          <w:rFonts w:ascii="Arial" w:hAnsi="Arial" w:cs="Arial"/>
          <w:sz w:val="18"/>
          <w:szCs w:val="18"/>
        </w:rPr>
      </w:pPr>
      <w:r>
        <w:rPr>
          <w:rFonts w:ascii="Arial" w:eastAsia="Times New Roman" w:hAnsi="Arial" w:cs="Arial"/>
          <w:sz w:val="18"/>
          <w:szCs w:val="18"/>
          <w:lang w:val="en"/>
        </w:rPr>
        <w:t>Within two (2) business days, a Conduct Officer will notify the person who submitted the report that the information has been received.</w:t>
      </w:r>
    </w:p>
    <w:p w:rsidR="004318A0" w:rsidRDefault="004318A0" w:rsidP="004318A0">
      <w:pPr>
        <w:pStyle w:val="ListParagraph"/>
        <w:numPr>
          <w:ilvl w:val="0"/>
          <w:numId w:val="7"/>
        </w:numPr>
        <w:spacing w:after="120"/>
        <w:rPr>
          <w:rFonts w:ascii="Arial" w:hAnsi="Arial" w:cs="Arial"/>
          <w:sz w:val="18"/>
          <w:szCs w:val="18"/>
        </w:rPr>
      </w:pPr>
      <w:r>
        <w:rPr>
          <w:rFonts w:ascii="Arial" w:eastAsia="Times New Roman" w:hAnsi="Arial" w:cs="Arial"/>
          <w:sz w:val="18"/>
          <w:szCs w:val="18"/>
          <w:lang w:val="en"/>
        </w:rPr>
        <w:t>The student will be contacted and a determination of the submitted report will be made by the BAT; information will be given to pertinent individuals.</w:t>
      </w:r>
    </w:p>
    <w:p w:rsidR="004318A0" w:rsidRDefault="004318A0" w:rsidP="004318A0">
      <w:pPr>
        <w:pStyle w:val="ListParagraph"/>
        <w:numPr>
          <w:ilvl w:val="0"/>
          <w:numId w:val="7"/>
        </w:numPr>
        <w:spacing w:after="120"/>
        <w:rPr>
          <w:rFonts w:ascii="Arial" w:hAnsi="Arial" w:cs="Arial"/>
          <w:sz w:val="18"/>
          <w:szCs w:val="18"/>
        </w:rPr>
      </w:pPr>
      <w:r>
        <w:rPr>
          <w:rFonts w:ascii="Arial" w:eastAsia="Times New Roman" w:hAnsi="Arial" w:cs="Arial"/>
          <w:sz w:val="18"/>
          <w:szCs w:val="18"/>
          <w:lang w:val="en"/>
        </w:rPr>
        <w:t>If the report is found to be only a Student Code Violation, the report will be forwarded to the appropriate Conduct Officer, who will handle the case under the guidelines in the Student Handbook, Section IV, Student Code of Conduct, subsection C.</w:t>
      </w:r>
    </w:p>
    <w:p w:rsidR="004318A0" w:rsidRDefault="004318A0" w:rsidP="004318A0">
      <w:pPr>
        <w:spacing w:after="120"/>
        <w:rPr>
          <w:rFonts w:ascii="Arial" w:eastAsia="Calibri" w:hAnsi="Arial" w:cs="Arial"/>
          <w:sz w:val="18"/>
          <w:szCs w:val="18"/>
        </w:rPr>
      </w:pPr>
      <w:r>
        <w:rPr>
          <w:rFonts w:ascii="Arial" w:hAnsi="Arial" w:cs="Arial"/>
          <w:sz w:val="18"/>
          <w:szCs w:val="18"/>
        </w:rPr>
        <w:t>In order to assist students in becoming more productive citizens of our community and to provide guidance in addressing behaviors of concern, the following are actions that the BAT may consider (but is not restricted):</w:t>
      </w:r>
    </w:p>
    <w:p w:rsidR="004318A0" w:rsidRDefault="004318A0" w:rsidP="004318A0">
      <w:pPr>
        <w:pStyle w:val="ListParagraph"/>
        <w:numPr>
          <w:ilvl w:val="0"/>
          <w:numId w:val="9"/>
        </w:numPr>
        <w:rPr>
          <w:rFonts w:ascii="Arial" w:hAnsi="Arial" w:cs="Arial"/>
          <w:sz w:val="18"/>
          <w:szCs w:val="18"/>
        </w:rPr>
      </w:pPr>
      <w:r>
        <w:rPr>
          <w:rFonts w:ascii="Arial" w:hAnsi="Arial" w:cs="Arial"/>
          <w:sz w:val="18"/>
          <w:szCs w:val="18"/>
        </w:rPr>
        <w:t>No instant action.</w:t>
      </w:r>
    </w:p>
    <w:p w:rsidR="004318A0" w:rsidRDefault="004318A0" w:rsidP="004318A0">
      <w:pPr>
        <w:pStyle w:val="ListParagraph"/>
        <w:numPr>
          <w:ilvl w:val="0"/>
          <w:numId w:val="9"/>
        </w:numPr>
        <w:rPr>
          <w:rFonts w:ascii="Arial" w:hAnsi="Arial" w:cs="Arial"/>
          <w:sz w:val="18"/>
          <w:szCs w:val="18"/>
        </w:rPr>
      </w:pPr>
      <w:r>
        <w:rPr>
          <w:rFonts w:ascii="Arial" w:eastAsia="Times New Roman" w:hAnsi="Arial" w:cs="Arial"/>
          <w:sz w:val="18"/>
          <w:szCs w:val="18"/>
        </w:rPr>
        <w:t xml:space="preserve">Contacting the student by official e-mail or by telephone to assess his or her status. </w:t>
      </w:r>
    </w:p>
    <w:p w:rsidR="004318A0" w:rsidRDefault="004318A0" w:rsidP="004318A0">
      <w:pPr>
        <w:pStyle w:val="ListParagraph"/>
        <w:numPr>
          <w:ilvl w:val="0"/>
          <w:numId w:val="9"/>
        </w:numPr>
        <w:rPr>
          <w:rFonts w:ascii="Arial" w:hAnsi="Arial" w:cs="Arial"/>
          <w:sz w:val="18"/>
          <w:szCs w:val="18"/>
        </w:rPr>
      </w:pPr>
      <w:r>
        <w:rPr>
          <w:rFonts w:ascii="Arial" w:eastAsia="Times New Roman" w:hAnsi="Arial" w:cs="Arial"/>
          <w:sz w:val="18"/>
          <w:szCs w:val="18"/>
        </w:rPr>
        <w:t xml:space="preserve">Meeting with the student to talk about needs, services available, and college expectations. </w:t>
      </w:r>
    </w:p>
    <w:p w:rsidR="004318A0" w:rsidRDefault="004318A0" w:rsidP="004318A0">
      <w:pPr>
        <w:pStyle w:val="ListParagraph"/>
        <w:numPr>
          <w:ilvl w:val="0"/>
          <w:numId w:val="9"/>
        </w:numPr>
        <w:rPr>
          <w:rFonts w:ascii="Arial" w:hAnsi="Arial" w:cs="Arial"/>
          <w:sz w:val="18"/>
          <w:szCs w:val="18"/>
        </w:rPr>
      </w:pPr>
      <w:r>
        <w:rPr>
          <w:rFonts w:ascii="Arial" w:eastAsia="Times New Roman" w:hAnsi="Arial" w:cs="Arial"/>
          <w:sz w:val="18"/>
          <w:szCs w:val="18"/>
        </w:rPr>
        <w:t>Using the Student Services Referral form to refer students to programs and services on campus; e.g., Student Assistance Program, Student Success Counseling Services, Financial Aid, Disability Support Services, and the ILC.</w:t>
      </w:r>
    </w:p>
    <w:p w:rsidR="004318A0" w:rsidRDefault="004318A0" w:rsidP="004318A0">
      <w:pPr>
        <w:rPr>
          <w:rFonts w:ascii="Arial" w:hAnsi="Arial" w:cs="Arial"/>
          <w:sz w:val="18"/>
          <w:szCs w:val="18"/>
        </w:rPr>
      </w:pPr>
      <w:r>
        <w:rPr>
          <w:rFonts w:ascii="Arial" w:hAnsi="Arial" w:cs="Arial"/>
          <w:sz w:val="18"/>
          <w:szCs w:val="18"/>
        </w:rPr>
        <w:t>The recommendations of the BAT are final; however, the student may appeal any sanction given by a Conduct Officer.  See Student Handbook, Section VI, Subsection C, for the appeals process.</w:t>
      </w:r>
    </w:p>
    <w:p w:rsidR="004318A0" w:rsidRDefault="004318A0" w:rsidP="004318A0">
      <w:pPr>
        <w:rPr>
          <w:rFonts w:ascii="Arial" w:hAnsi="Arial" w:cs="Arial"/>
          <w:b/>
          <w:bCs/>
          <w:sz w:val="18"/>
          <w:szCs w:val="18"/>
        </w:rPr>
      </w:pPr>
    </w:p>
    <w:p w:rsidR="004318A0" w:rsidRDefault="004318A0" w:rsidP="004318A0">
      <w:pPr>
        <w:rPr>
          <w:rFonts w:ascii="Arial" w:hAnsi="Arial" w:cs="Arial"/>
          <w:sz w:val="18"/>
          <w:szCs w:val="18"/>
        </w:rPr>
      </w:pPr>
      <w:r>
        <w:rPr>
          <w:rFonts w:ascii="Arial" w:hAnsi="Arial" w:cs="Arial"/>
          <w:b/>
          <w:bCs/>
          <w:sz w:val="18"/>
          <w:szCs w:val="18"/>
        </w:rPr>
        <w:t>Confidentiality</w:t>
      </w:r>
      <w:r>
        <w:rPr>
          <w:rFonts w:ascii="Arial" w:hAnsi="Arial" w:cs="Arial"/>
          <w:sz w:val="18"/>
          <w:szCs w:val="18"/>
        </w:rPr>
        <w:br/>
        <w:t>Wake Technical Community College understands the sensitivity of information obtained, provided, and/or alleged in such reports as it pertains to an individual’s reputation, privacy, and anonymity. Any report of concerning behaviors or threats of violence will be handled in a confidential manner, with information released only on a need-to-know basis. When appropriate, legal guidance will be requested.</w:t>
      </w:r>
    </w:p>
    <w:p w:rsidR="004318A0" w:rsidRDefault="004318A0" w:rsidP="004318A0">
      <w:pPr>
        <w:rPr>
          <w:rFonts w:ascii="Arial" w:hAnsi="Arial" w:cs="Arial"/>
          <w:sz w:val="18"/>
          <w:szCs w:val="18"/>
        </w:rPr>
      </w:pPr>
    </w:p>
    <w:p w:rsidR="004318A0" w:rsidRDefault="004318A0" w:rsidP="004318A0">
      <w:pPr>
        <w:rPr>
          <w:rFonts w:ascii="Arial" w:hAnsi="Arial" w:cs="Arial"/>
          <w:sz w:val="18"/>
          <w:szCs w:val="18"/>
        </w:rPr>
      </w:pPr>
      <w:r>
        <w:rPr>
          <w:rFonts w:ascii="Arial" w:hAnsi="Arial" w:cs="Arial"/>
          <w:b/>
          <w:bCs/>
          <w:sz w:val="18"/>
          <w:szCs w:val="18"/>
        </w:rPr>
        <w:t>Records Retention </w:t>
      </w:r>
      <w:r>
        <w:rPr>
          <w:rFonts w:ascii="Arial" w:hAnsi="Arial" w:cs="Arial"/>
          <w:sz w:val="18"/>
          <w:szCs w:val="18"/>
        </w:rPr>
        <w:br/>
        <w:t xml:space="preserve">All Behavior of Concern reports (documents, files, etc.) related to a threat assessment will be maintained by the Dean of Student Development in the </w:t>
      </w:r>
      <w:proofErr w:type="spellStart"/>
      <w:r>
        <w:rPr>
          <w:rFonts w:ascii="Arial" w:hAnsi="Arial" w:cs="Arial"/>
          <w:sz w:val="18"/>
          <w:szCs w:val="18"/>
        </w:rPr>
        <w:t>Maxient</w:t>
      </w:r>
      <w:proofErr w:type="spellEnd"/>
      <w:r>
        <w:rPr>
          <w:rFonts w:ascii="Arial" w:hAnsi="Arial" w:cs="Arial"/>
          <w:sz w:val="18"/>
          <w:szCs w:val="18"/>
        </w:rPr>
        <w:t xml:space="preserve"> system.  All criminal reports relating to a threat assessment will be maintained by the Campus Police. </w:t>
      </w:r>
    </w:p>
    <w:p w:rsidR="00F74050" w:rsidRDefault="00F74050">
      <w:bookmarkStart w:id="0" w:name="_GoBack"/>
      <w:bookmarkEnd w:id="0"/>
    </w:p>
    <w:sectPr w:rsidR="00F74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0ED"/>
    <w:multiLevelType w:val="hybridMultilevel"/>
    <w:tmpl w:val="EA06992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0323B1A"/>
    <w:multiLevelType w:val="hybridMultilevel"/>
    <w:tmpl w:val="081A11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1C45173"/>
    <w:multiLevelType w:val="multilevel"/>
    <w:tmpl w:val="03DA44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05806"/>
    <w:multiLevelType w:val="hybridMultilevel"/>
    <w:tmpl w:val="35B267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C1C41"/>
    <w:multiLevelType w:val="hybridMultilevel"/>
    <w:tmpl w:val="58FE6E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33080252"/>
    <w:multiLevelType w:val="hybridMultilevel"/>
    <w:tmpl w:val="6ECE7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5C72FD"/>
    <w:multiLevelType w:val="multilevel"/>
    <w:tmpl w:val="258859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022D7"/>
    <w:multiLevelType w:val="multilevel"/>
    <w:tmpl w:val="820226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5F70C75"/>
    <w:multiLevelType w:val="multilevel"/>
    <w:tmpl w:val="369669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A0"/>
    <w:rsid w:val="004318A0"/>
    <w:rsid w:val="00F7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663EE-8CD7-4C4A-B316-FAC4957C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8A0"/>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semiHidden/>
    <w:unhideWhenUsed/>
    <w:rsid w:val="00431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6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aglesnest.wakete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1843</Words>
  <Characters>10507</Characters>
  <Application>Microsoft Office Word</Application>
  <DocSecurity>0</DocSecurity>
  <Lines>87</Lines>
  <Paragraphs>24</Paragraphs>
  <ScaleCrop>false</ScaleCrop>
  <Company>Wake Technical Community College</Company>
  <LinksUpToDate>false</LinksUpToDate>
  <CharactersWithSpaces>12326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Grace King</dc:creator>
  <cp:keywords/>
  <dc:description/>
  <cp:lastModifiedBy>Rachel Grace King</cp:lastModifiedBy>
  <cp:revision>1</cp:revision>
  <dcterms:created xsi:type="dcterms:W3CDTF">2015-08-12T13:49:00Z</dcterms:created>
  <dcterms:modified xsi:type="dcterms:W3CDTF">2015-08-12T13:49:00Z</dcterms:modified>
</cp:coreProperties>
</file>