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currently we ask users to create server extensions in Cstudio and put it to car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we need a way to do it differently, not do it via Capp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we need a new archive - what about hot deployment/ hot updates?  and can we just do a jar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ideal situation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Do we need separate server extension file?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do not need extensions inside the car file .. as it is cross applications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if a app have a dependency on a server extension, there is a no way to say that.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</w:pPr>
      <w:r w:rsidRPr="00000000" w:rsidR="00000000" w:rsidDel="00000000">
        <w:rPr>
          <w:rtl w:val="0"/>
        </w:rPr>
        <w:t xml:space="preserve">Axis2 philosophy is that extensions are outside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Hot Updates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esb can support hot updates? but not others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do we need hot updates?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what is the security model? do we manage them? can we add them without restarting? can we do the round robin restarts?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clear solution is fixing this for hot deployment? OSGI level. We have not solve this for a time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We think this is OK with a round robin start with we are managing extensions for statos for now given we can support ESB extension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Can we use p2 features to support server extensions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rtl w:val="0"/>
        </w:rPr>
        <w:t xml:space="preserve">can work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rtl w:val="0"/>
        </w:rPr>
        <w:t xml:space="preserve">why we want to go to p2 path? then we need to create a p2 feature and p2 repo to deploy the extension .. does it make users life hard.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rtl w:val="0"/>
        </w:rPr>
        <w:t xml:space="preserve">yes, but if we use carbon studio, that is hidden from users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</w:pPr>
      <w:r w:rsidRPr="00000000" w:rsidR="00000000" w:rsidDel="00000000">
        <w:rPr>
          <w:rtl w:val="0"/>
        </w:rPr>
        <w:t xml:space="preserve">Can we hot deploy P2P features to a cluster? we can have done it so far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rtl w:val="0"/>
        </w:rPr>
        <w:t xml:space="preserve">Next Steps: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</w:pPr>
      <w:r w:rsidRPr="00000000" w:rsidR="00000000" w:rsidDel="00000000">
        <w:rPr>
          <w:rtl w:val="0"/>
        </w:rPr>
        <w:t xml:space="preserve">Do a research on 2 possible mechanism </w:t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</w:pPr>
      <w:r w:rsidRPr="00000000" w:rsidR="00000000" w:rsidDel="00000000">
        <w:rPr>
          <w:rtl w:val="0"/>
        </w:rPr>
        <w:t xml:space="preserve">Create our own hot deployable hot updatable extension</w:t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</w:pPr>
      <w:r w:rsidRPr="00000000" w:rsidR="00000000" w:rsidDel="00000000">
        <w:rPr>
          <w:rtl w:val="0"/>
        </w:rPr>
        <w:t xml:space="preserve">Use OSGi features (P2) (hot deploy/update/deployment across cluster)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Requirements summary: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1) How do we deploy into a cluster? p2 doesn’t currently support this. Do we need a depsync model for this?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2) Hot deploy.... how do we add this to a running server?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3) Hot update.... an issue with Stratos where we need to update the running server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4) Separation from Application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ourier New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decimal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decimal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decimal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36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28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/>
    <w:rPr>
      <w:rFonts w:cs="Courier New" w:hAnsi="Courier New" w:eastAsia="Courier New" w:ascii="Courier New"/>
      <w:sz w:val="20"/>
    </w:rPr>
  </w:style>
  <w:style w:styleId="Heading6" w:type="paragraph">
    <w:name w:val="heading 6"/>
    <w:basedOn w:val="Normal"/>
    <w:next w:val="Normal"/>
    <w:pPr/>
    <w:rPr>
      <w:rFonts w:cs="Cambria" w:hAnsi="Cambria" w:eastAsia="Cambria" w:ascii="Cambria"/>
      <w:i w:val="1"/>
      <w:color w:val="666666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ServerExtensionDiscussion.docx</dc:title>
</cp:coreProperties>
</file>