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120"/>
        <w:jc w:val="center"/>
      </w:pPr>
      <w:r>
        <w:rPr>
          <w:rFonts w:ascii="Alibaba PuHuiTi B" w:hAnsi="Alibaba PuHuiTi B" w:eastAsia="Alibaba PuHuiTi B"/>
          <w:b w:val="0"/>
          <w:i w:val="0"/>
          <w:color w:val="000000"/>
          <w:sz w:val="36"/>
        </w:rPr>
        <w:t>2025学年地方教材等公开招标及履约管理情况</w:t>
      </w:r>
    </w:p>
    <w:p>
      <w:pPr>
        <w:spacing w:before="0" w:after="280"/>
        <w:jc w:val="center"/>
      </w:pPr>
      <w:r>
        <w:rPr>
          <w:rFonts w:ascii="Alibaba PuHuiTi B" w:hAnsi="Alibaba PuHuiTi B" w:eastAsia="Alibaba PuHuiTi B"/>
          <w:b w:val="0"/>
          <w:i w:val="0"/>
          <w:color w:val="1F4E79"/>
          <w:sz w:val="28"/>
        </w:rPr>
        <w:t>审计取证单内容初稿及省店补充填报表设计</w:t>
      </w:r>
    </w:p>
    <w:tbl>
      <w:tblPr>
        <w:tblW w:type="dxa" w:w="9360"/>
        <w:tblLayout w:type="fixed"/>
        <w:tblLook w:firstColumn="1" w:firstRow="1" w:lastColumn="0" w:lastRow="0" w:noHBand="0" w:noVBand="1" w:val="04A0"/>
        <w:jc w:val="lef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Ind w:w="120" w:type="dxa"/>
      </w:tblPr>
      <w:tblGrid>
        <w:gridCol w:w="1800"/>
        <w:gridCol w:w="7560"/>
      </w:tblGrid>
      <w:tr>
        <w:trPr>
          <w:cantSplit/>
        </w:trPr>
        <w:tc>
          <w:tcPr>
            <w:tcW w:type="dxa" w:w="1800"/>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9"/>
              </w:rPr>
              <w:t>被审计单位</w:t>
            </w:r>
          </w:p>
        </w:tc>
        <w:tc>
          <w:tcPr>
            <w:tcW w:type="dxa" w:w="7560"/>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9"/>
              </w:rPr>
              <w:t>浙江出版联合集团有限公司及所属浙江省新华书店集团有限公司</w:t>
            </w:r>
          </w:p>
        </w:tc>
      </w:tr>
      <w:tr>
        <w:trPr>
          <w:cantSplit/>
        </w:trPr>
        <w:tc>
          <w:tcPr>
            <w:tcW w:type="dxa" w:w="1800"/>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9"/>
              </w:rPr>
              <w:t>审计调查事项</w:t>
            </w:r>
          </w:p>
        </w:tc>
        <w:tc>
          <w:tcPr>
            <w:tcW w:type="dxa" w:w="7560"/>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9"/>
              </w:rPr>
              <w:t>2025学年地方教材、教辅材料及学具采购方式、投标成本和合同履约管理情况</w:t>
            </w:r>
          </w:p>
        </w:tc>
      </w:tr>
      <w:tr>
        <w:trPr>
          <w:cantSplit/>
        </w:trPr>
        <w:tc>
          <w:tcPr>
            <w:tcW w:type="dxa" w:w="1800"/>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9"/>
              </w:rPr>
              <w:t>数据期间</w:t>
            </w:r>
          </w:p>
        </w:tc>
        <w:tc>
          <w:tcPr>
            <w:tcW w:type="dxa" w:w="7560"/>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9"/>
              </w:rPr>
              <w:t>2025学年（含2025年秋季学期、2026年春季学期）</w:t>
            </w:r>
          </w:p>
        </w:tc>
      </w:tr>
      <w:tr>
        <w:trPr>
          <w:cantSplit/>
        </w:trPr>
        <w:tc>
          <w:tcPr>
            <w:tcW w:type="dxa" w:w="1800"/>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9"/>
              </w:rPr>
              <w:t>金额单位</w:t>
            </w:r>
          </w:p>
        </w:tc>
        <w:tc>
          <w:tcPr>
            <w:tcW w:type="dxa" w:w="7560"/>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9"/>
              </w:rPr>
              <w:t>人民币万元；另有说明的除外</w:t>
            </w:r>
          </w:p>
        </w:tc>
      </w:tr>
      <w:tr>
        <w:trPr>
          <w:cantSplit/>
        </w:trPr>
        <w:tc>
          <w:tcPr>
            <w:tcW w:type="dxa" w:w="1800"/>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9"/>
              </w:rPr>
              <w:t>文稿性质</w:t>
            </w:r>
          </w:p>
        </w:tc>
        <w:tc>
          <w:tcPr>
            <w:tcW w:type="dxa" w:w="7560"/>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9"/>
              </w:rPr>
              <w:t>审计初步核实稿，问题金额和责任结论以被审计单位补证后为准</w:t>
            </w:r>
          </w:p>
        </w:tc>
      </w:tr>
    </w:tbl>
    <w:p>
      <w:pPr>
        <w:spacing w:after="0"/>
      </w:pPr>
    </w:p>
    <w:p>
      <w:pPr>
        <w:pStyle w:val="Heading1"/>
        <w:keepNext/>
      </w:pPr>
      <w:r>
        <w:rPr>
          <w:rFonts w:ascii="Alibaba PuHuiTi B" w:hAnsi="Alibaba PuHuiTi B" w:eastAsia="Alibaba PuHuiTi B"/>
          <w:b w:val="0"/>
          <w:i w:val="0"/>
          <w:color w:val="1F4E79"/>
          <w:sz w:val="32"/>
        </w:rPr>
        <w:t>一、审计调查事项摘要</w:t>
      </w:r>
    </w:p>
    <w:p>
      <w:pPr>
        <w:spacing w:before="0" w:after="120" w:lineRule="auto" w:line="264"/>
        <w:ind w:firstLine="420"/>
      </w:pPr>
      <w:r>
        <w:rPr>
          <w:rFonts w:ascii="STSong" w:hAnsi="STSong" w:eastAsia="STSong"/>
          <w:b w:val="0"/>
          <w:i w:val="0"/>
          <w:color w:val="000000"/>
          <w:sz w:val="21"/>
        </w:rPr>
        <w:t>经对浙江省新华书店集团有限公司提供的《地方教材招投标统计》、公开采购公告及招标文件、项目采购清单等资料进行初步核对，2025学年，纳入统计的67家市县新华书店中，38家反馈地方教材等项目通过政府采购程序实施。其中，14家先行公开招标失败后转为单一来源采购，12家采用公开招标，12家直接采用单一来源采购。公开采购信息显示，2025年全省至少有金华市本级、余杭区、云和县、椒江区、鄞州区、婺城区、义乌市、莲都区等8个地方教材、教辅材料及学具公开招标项目，采购预算合计18,025.20万元。</w:t>
      </w:r>
    </w:p>
    <w:p>
      <w:pPr>
        <w:spacing w:before="0" w:after="120" w:lineRule="auto" w:line="264"/>
        <w:ind w:firstLine="420"/>
      </w:pPr>
      <w:r>
        <w:rPr>
          <w:rFonts w:ascii="STSong" w:hAnsi="STSong" w:eastAsia="STSong"/>
          <w:b w:val="0"/>
          <w:i w:val="0"/>
          <w:color w:val="000000"/>
          <w:sz w:val="21"/>
        </w:rPr>
        <w:t>上述项目多将地方课程教材、地方专题教育材料、教辅材料、配套作业本和学具等纳入同一采购包。18,025.20万元为混合采购包预算总额，不能直接作为问题金额。现有统计未逐项区分教材属性、发行资质、独家授权、可供货供应商数量及对应金额，也未完整反映开标、定标、合同签订、首次供货和代理费用实际支付情况。审计初步发现，部分项目采购品目分类和采购方式论证不充分，14家基层店出现公开招标失败后再转单一来源采购；部分秋季项目采购节点接近或晚于开学；部分委托社会代理机构的项目由中标供应商承担代理服务费并计入投标报价。经被审计单位逐项核实后，涉及____家基层店、____个项目，具备唯一供应属性品目金额____万元，实际承担代理服务费____万元，合同签订晚于开学或首次供货的项目____个。</w:t>
      </w:r>
    </w:p>
    <w:tbl>
      <w:tblPr>
        <w:tblW w:type="dxa" w:w="9360"/>
        <w:jc w:val="left"/>
        <w:tblLayout w:type="fixed"/>
        <w:tblLook w:firstColumn="1" w:firstRow="1" w:lastColumn="0" w:lastRow="0" w:noHBand="0" w:noVBand="1" w:val="04A0"/>
        <w:tblInd w:w="12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Grid>
        <w:gridCol w:w="9360"/>
      </w:tblGrid>
      <w:tr>
        <w:trPr>
          <w:cantSplit/>
        </w:trPr>
        <w:tc>
          <w:tcPr>
            <w:tcW w:type="dxa" w:w="9360"/>
            <w:shd w:fill="FFF2CC"/>
            <w:tcMar>
              <w:top w:w="120" w:type="dxa"/>
              <w:start w:w="120" w:type="dxa"/>
              <w:bottom w:w="120" w:type="dxa"/>
              <w:end w:w="120" w:type="dxa"/>
            </w:tcMar>
          </w:tcPr>
          <w:p>
            <w:pPr>
              <w:spacing w:before="0" w:after="0" w:lineRule="auto" w:line="264"/>
            </w:pPr>
            <w:r>
              <w:rPr>
                <w:rFonts w:ascii="Alibaba PuHuiTi B" w:hAnsi="Alibaba PuHuiTi B" w:eastAsia="Alibaba PuHuiTi B"/>
                <w:b w:val="0"/>
                <w:i w:val="0"/>
                <w:color w:val="1F4E79"/>
                <w:sz w:val="21"/>
              </w:rPr>
              <w:t>定性口径：</w:t>
            </w:r>
            <w:r>
              <w:rPr>
                <w:rFonts w:ascii="STSong" w:hAnsi="STSong" w:eastAsia="STSong"/>
                <w:b w:val="0"/>
                <w:i w:val="0"/>
                <w:color w:val="000000"/>
                <w:sz w:val="21"/>
              </w:rPr>
              <w:t>公开招标是政府采购的主要方式，公开招标本身不构成问题。只有经市场调查并取得有效证据，证明某一品目只能从唯一供应商处采购时，才具备采用单一来源采购的法定情形。本稿将“整包预算”“待核实品目金额”和“最终问题金额”分别列示，避免扩大认定范围。</w:t>
            </w:r>
          </w:p>
        </w:tc>
      </w:tr>
    </w:tbl>
    <w:p>
      <w:pPr>
        <w:spacing w:after="0"/>
      </w:pPr>
    </w:p>
    <w:p>
      <w:pPr>
        <w:pStyle w:val="Heading1"/>
        <w:keepNext/>
      </w:pPr>
      <w:r>
        <w:rPr>
          <w:rFonts w:ascii="Alibaba PuHuiTi B" w:hAnsi="Alibaba PuHuiTi B" w:eastAsia="Alibaba PuHuiTi B"/>
          <w:b w:val="0"/>
          <w:i w:val="0"/>
          <w:color w:val="1F4E79"/>
          <w:sz w:val="32"/>
        </w:rPr>
        <w:t>二、基本情况</w:t>
      </w:r>
    </w:p>
    <w:p>
      <w:pPr>
        <w:keepNext/>
        <w:spacing w:before="160" w:after="80"/>
      </w:pPr>
      <w:r>
        <w:rPr>
          <w:rFonts w:ascii="Alibaba PuHuiTi B" w:hAnsi="Alibaba PuHuiTi B" w:eastAsia="Alibaba PuHuiTi B"/>
          <w:b w:val="0"/>
          <w:i w:val="0"/>
          <w:color w:val="000000"/>
          <w:sz w:val="23"/>
        </w:rPr>
        <w:t>（一）采购方式及统计情况</w:t>
      </w:r>
    </w:p>
    <w:p>
      <w:pPr>
        <w:spacing w:before="0" w:after="120" w:lineRule="auto" w:line="264"/>
        <w:ind w:firstLine="420"/>
      </w:pPr>
      <w:r>
        <w:rPr>
          <w:rFonts w:ascii="STSong" w:hAnsi="STSong" w:eastAsia="STSong"/>
          <w:b w:val="0"/>
          <w:i w:val="0"/>
          <w:color w:val="000000"/>
          <w:sz w:val="21"/>
        </w:rPr>
        <w:t>《中华人民共和国政府采购法》规定，公开招标为政府采购的主要采购方式；符合“只能从唯一供应商处采购”情形的，可以采用单一来源方式。《政府采购需求管理办法》要求采购人围绕采购需求开展调查，在采购实施计划中确定采购方式、标包划分、合同订立和履约安排，并根据采购需求特点选择适当的采购方式。中小学教材出版、发行实行资质管理；但教辅材料、学具等是否具备唯一供应属性，应结合具体品目、授权文件和市场供应情况分别判断。</w:t>
      </w:r>
    </w:p>
    <w:tbl>
      <w:tblPr>
        <w:tblW w:type="dxa" w:w="9360"/>
        <w:tblLayout w:type="fixed"/>
        <w:tblLook w:firstColumn="1" w:firstRow="1" w:lastColumn="0" w:lastRow="0" w:noHBand="0" w:noVBand="1" w:val="04A0"/>
        <w:jc w:val="lef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Ind w:w="120" w:type="dxa"/>
      </w:tblPr>
      <w:tblGrid>
        <w:gridCol w:w="3096"/>
        <w:gridCol w:w="1440"/>
        <w:gridCol w:w="4824"/>
      </w:tblGrid>
      <w:tr>
        <w:trPr>
          <w:tblHeader w:val="true"/>
          <w:cantSplit/>
        </w:trPr>
        <w:tc>
          <w:tcPr>
            <w:tcW w:type="dxa" w:w="3096"/>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8"/>
              </w:rPr>
              <w:t>统计口径</w:t>
            </w:r>
          </w:p>
        </w:tc>
        <w:tc>
          <w:tcPr>
            <w:tcW w:type="dxa" w:w="1440"/>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8"/>
              </w:rPr>
              <w:t>数量</w:t>
            </w:r>
          </w:p>
        </w:tc>
        <w:tc>
          <w:tcPr>
            <w:tcW w:type="dxa" w:w="4824"/>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8"/>
              </w:rPr>
              <w:t>说明</w:t>
            </w:r>
          </w:p>
        </w:tc>
      </w:tr>
      <w:tr>
        <w:trPr>
          <w:cantSplit/>
        </w:trPr>
        <w:tc>
          <w:tcPr>
            <w:tcW w:type="dxa" w:w="3096"/>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8"/>
              </w:rPr>
              <w:t>纳入统计基层店</w:t>
            </w:r>
          </w:p>
        </w:tc>
        <w:tc>
          <w:tcPr>
            <w:tcW w:type="dxa" w:w="1440"/>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8"/>
              </w:rPr>
              <w:t>67家</w:t>
            </w:r>
          </w:p>
        </w:tc>
        <w:tc>
          <w:tcPr>
            <w:tcW w:type="dxa" w:w="482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8"/>
              </w:rPr>
              <w:t>省店提供的《地方教材招投标统计》</w:t>
            </w:r>
          </w:p>
        </w:tc>
      </w:tr>
      <w:tr>
        <w:trPr>
          <w:cantSplit/>
        </w:trPr>
        <w:tc>
          <w:tcPr>
            <w:tcW w:type="dxa" w:w="3096"/>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8"/>
              </w:rPr>
              <w:t>通过政府采购程序实施</w:t>
            </w:r>
          </w:p>
        </w:tc>
        <w:tc>
          <w:tcPr>
            <w:tcW w:type="dxa" w:w="1440"/>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8"/>
              </w:rPr>
              <w:t>38家</w:t>
            </w:r>
          </w:p>
        </w:tc>
        <w:tc>
          <w:tcPr>
            <w:tcW w:type="dxa" w:w="482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8"/>
              </w:rPr>
              <w:t>占纳入统计基层店56.72%</w:t>
            </w:r>
          </w:p>
        </w:tc>
      </w:tr>
      <w:tr>
        <w:trPr>
          <w:cantSplit/>
        </w:trPr>
        <w:tc>
          <w:tcPr>
            <w:tcW w:type="dxa" w:w="3096"/>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8"/>
              </w:rPr>
              <w:t>公开招标失败后转单一来源</w:t>
            </w:r>
          </w:p>
        </w:tc>
        <w:tc>
          <w:tcPr>
            <w:tcW w:type="dxa" w:w="1440"/>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8"/>
              </w:rPr>
              <w:t>14家</w:t>
            </w:r>
          </w:p>
        </w:tc>
        <w:tc>
          <w:tcPr>
            <w:tcW w:type="dxa" w:w="482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8"/>
              </w:rPr>
              <w:t>占通过政府采购程序实施基层店36.84%</w:t>
            </w:r>
          </w:p>
        </w:tc>
      </w:tr>
      <w:tr>
        <w:trPr>
          <w:cantSplit/>
        </w:trPr>
        <w:tc>
          <w:tcPr>
            <w:tcW w:type="dxa" w:w="3096"/>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8"/>
              </w:rPr>
              <w:t>直接采用公开招标</w:t>
            </w:r>
          </w:p>
        </w:tc>
        <w:tc>
          <w:tcPr>
            <w:tcW w:type="dxa" w:w="1440"/>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8"/>
              </w:rPr>
              <w:t>12家</w:t>
            </w:r>
          </w:p>
        </w:tc>
        <w:tc>
          <w:tcPr>
            <w:tcW w:type="dxa" w:w="482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8"/>
              </w:rPr>
              <w:t>未含先公开招标后转单一来源的14家</w:t>
            </w:r>
          </w:p>
        </w:tc>
      </w:tr>
      <w:tr>
        <w:trPr>
          <w:cantSplit/>
        </w:trPr>
        <w:tc>
          <w:tcPr>
            <w:tcW w:type="dxa" w:w="3096"/>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8"/>
              </w:rPr>
              <w:t>直接采用单一来源</w:t>
            </w:r>
          </w:p>
        </w:tc>
        <w:tc>
          <w:tcPr>
            <w:tcW w:type="dxa" w:w="1440"/>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8"/>
              </w:rPr>
              <w:t>12家</w:t>
            </w:r>
          </w:p>
        </w:tc>
        <w:tc>
          <w:tcPr>
            <w:tcW w:type="dxa" w:w="482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8"/>
              </w:rPr>
              <w:t>以省店原统计口径为准</w:t>
            </w:r>
          </w:p>
        </w:tc>
      </w:tr>
      <w:tr>
        <w:trPr>
          <w:cantSplit/>
        </w:trPr>
        <w:tc>
          <w:tcPr>
            <w:tcW w:type="dxa" w:w="3096"/>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8"/>
              </w:rPr>
              <w:t>未通过上述政府采购程序</w:t>
            </w:r>
          </w:p>
        </w:tc>
        <w:tc>
          <w:tcPr>
            <w:tcW w:type="dxa" w:w="1440"/>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8"/>
              </w:rPr>
              <w:t>29家</w:t>
            </w:r>
          </w:p>
        </w:tc>
        <w:tc>
          <w:tcPr>
            <w:tcW w:type="dxa" w:w="482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8"/>
              </w:rPr>
              <w:t>具体业务模式仍需逐家核实</w:t>
            </w:r>
          </w:p>
        </w:tc>
      </w:tr>
    </w:tbl>
    <w:p>
      <w:pPr>
        <w:spacing w:after="0"/>
      </w:pPr>
    </w:p>
    <w:p>
      <w:pPr>
        <w:keepNext/>
        <w:spacing w:before="160" w:after="80"/>
      </w:pPr>
      <w:r>
        <w:rPr>
          <w:rFonts w:ascii="Alibaba PuHuiTi B" w:hAnsi="Alibaba PuHuiTi B" w:eastAsia="Alibaba PuHuiTi B"/>
          <w:b w:val="0"/>
          <w:i w:val="0"/>
          <w:color w:val="000000"/>
          <w:sz w:val="23"/>
        </w:rPr>
        <w:t>（二）2025年公开招标项目初步筛选情况</w:t>
      </w:r>
    </w:p>
    <w:p>
      <w:pPr>
        <w:spacing w:before="0" w:after="120" w:lineRule="auto" w:line="264"/>
        <w:ind w:firstLine="420"/>
      </w:pPr>
      <w:r>
        <w:rPr>
          <w:rFonts w:ascii="STSong" w:hAnsi="STSong" w:eastAsia="STSong"/>
          <w:b w:val="0"/>
          <w:i w:val="0"/>
          <w:color w:val="000000"/>
          <w:sz w:val="21"/>
        </w:rPr>
        <w:t>根据现有公开采购信息，2025年共筛选出8个地方教材、教辅材料及学具公开招标项目，预算合计18,025.20万元。项目名称和采购清单显示，多数项目属于混合采购包，需由省店及相关基层店按品目补充发行资质、授权关系、可供货主体数量、实际合同金额及结算金额。</w:t>
      </w:r>
    </w:p>
    <w:tbl>
      <w:tblPr>
        <w:tblW w:type="dxa" w:w="9360"/>
        <w:tblLayout w:type="fixed"/>
        <w:tblLook w:firstColumn="1" w:firstRow="1" w:lastColumn="0" w:lastRow="0" w:noHBand="0" w:noVBand="1" w:val="04A0"/>
        <w:jc w:val="lef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Ind w:w="120" w:type="dxa"/>
      </w:tblPr>
      <w:tblGrid>
        <w:gridCol w:w="518"/>
        <w:gridCol w:w="1037"/>
        <w:gridCol w:w="1872"/>
        <w:gridCol w:w="1123"/>
        <w:gridCol w:w="1325"/>
        <w:gridCol w:w="979"/>
        <w:gridCol w:w="2506"/>
      </w:tblGrid>
      <w:tr>
        <w:trPr>
          <w:tblHeader w:val="true"/>
          <w:cantSplit/>
        </w:trPr>
        <w:tc>
          <w:tcPr>
            <w:tcW w:type="dxa" w:w="518"/>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5"/>
              </w:rPr>
              <w:t>序号</w:t>
            </w:r>
          </w:p>
        </w:tc>
        <w:tc>
          <w:tcPr>
            <w:tcW w:type="dxa" w:w="1037"/>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5"/>
              </w:rPr>
              <w:t>地区</w:t>
            </w:r>
          </w:p>
        </w:tc>
        <w:tc>
          <w:tcPr>
            <w:tcW w:type="dxa" w:w="1872"/>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5"/>
              </w:rPr>
              <w:t>采购单位</w:t>
            </w:r>
          </w:p>
        </w:tc>
        <w:tc>
          <w:tcPr>
            <w:tcW w:type="dxa" w:w="1123"/>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5"/>
              </w:rPr>
              <w:t>公告日期</w:t>
            </w:r>
          </w:p>
        </w:tc>
        <w:tc>
          <w:tcPr>
            <w:tcW w:type="dxa" w:w="1325"/>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5"/>
              </w:rPr>
              <w:t>开标/结果日期</w:t>
            </w:r>
          </w:p>
        </w:tc>
        <w:tc>
          <w:tcPr>
            <w:tcW w:type="dxa" w:w="979"/>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5"/>
              </w:rPr>
              <w:t>预算</w:t>
            </w:r>
          </w:p>
        </w:tc>
        <w:tc>
          <w:tcPr>
            <w:tcW w:type="dxa" w:w="2506"/>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5"/>
              </w:rPr>
              <w:t>采购内容</w:t>
            </w:r>
          </w:p>
        </w:tc>
      </w:tr>
      <w:tr>
        <w:trPr>
          <w:cantSplit/>
        </w:trPr>
        <w:tc>
          <w:tcPr>
            <w:tcW w:type="dxa" w:w="518"/>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5"/>
              </w:rPr>
              <w:t>1</w:t>
            </w:r>
          </w:p>
        </w:tc>
        <w:tc>
          <w:tcPr>
            <w:tcW w:type="dxa" w:w="1037"/>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金华市本级</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金华市教育局</w:t>
            </w:r>
          </w:p>
        </w:tc>
        <w:tc>
          <w:tcPr>
            <w:tcW w:type="dxa" w:w="1123"/>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2025-08-08</w:t>
            </w:r>
          </w:p>
        </w:tc>
        <w:tc>
          <w:tcPr>
            <w:tcW w:type="dxa" w:w="1325"/>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2025-08-28</w:t>
            </w:r>
          </w:p>
        </w:tc>
        <w:tc>
          <w:tcPr>
            <w:tcW w:type="dxa" w:w="979"/>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200.00</w:t>
            </w:r>
          </w:p>
        </w:tc>
        <w:tc>
          <w:tcPr>
            <w:tcW w:type="dxa" w:w="2506"/>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地方专题教育材料、地方管理的国家课程教材等</w:t>
            </w:r>
          </w:p>
        </w:tc>
      </w:tr>
      <w:tr>
        <w:trPr>
          <w:cantSplit/>
        </w:trPr>
        <w:tc>
          <w:tcPr>
            <w:tcW w:type="dxa" w:w="518"/>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5"/>
              </w:rPr>
              <w:t>2</w:t>
            </w:r>
          </w:p>
        </w:tc>
        <w:tc>
          <w:tcPr>
            <w:tcW w:type="dxa" w:w="1037"/>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余杭区</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余杭区教育局</w:t>
            </w:r>
          </w:p>
        </w:tc>
        <w:tc>
          <w:tcPr>
            <w:tcW w:type="dxa" w:w="1123"/>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2025-08-15</w:t>
            </w:r>
          </w:p>
        </w:tc>
        <w:tc>
          <w:tcPr>
            <w:tcW w:type="dxa" w:w="1325"/>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2025-09-05</w:t>
            </w:r>
          </w:p>
        </w:tc>
        <w:tc>
          <w:tcPr>
            <w:tcW w:type="dxa" w:w="979"/>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5,500.00</w:t>
            </w:r>
          </w:p>
        </w:tc>
        <w:tc>
          <w:tcPr>
            <w:tcW w:type="dxa" w:w="2506"/>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地方教材和教学辅助材料，清单含教材、作业本、教辅和学具</w:t>
            </w:r>
          </w:p>
        </w:tc>
      </w:tr>
      <w:tr>
        <w:trPr>
          <w:cantSplit/>
        </w:trPr>
        <w:tc>
          <w:tcPr>
            <w:tcW w:type="dxa" w:w="518"/>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5"/>
              </w:rPr>
              <w:t>3</w:t>
            </w:r>
          </w:p>
        </w:tc>
        <w:tc>
          <w:tcPr>
            <w:tcW w:type="dxa" w:w="1037"/>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云和县</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云和县教育局</w:t>
            </w:r>
          </w:p>
        </w:tc>
        <w:tc>
          <w:tcPr>
            <w:tcW w:type="dxa" w:w="1123"/>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待补</w:t>
            </w:r>
          </w:p>
        </w:tc>
        <w:tc>
          <w:tcPr>
            <w:tcW w:type="dxa" w:w="1325"/>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待补</w:t>
            </w:r>
          </w:p>
        </w:tc>
        <w:tc>
          <w:tcPr>
            <w:tcW w:type="dxa" w:w="979"/>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395.00</w:t>
            </w:r>
          </w:p>
        </w:tc>
        <w:tc>
          <w:tcPr>
            <w:tcW w:type="dxa" w:w="2506"/>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教辅材料及地方教材</w:t>
            </w:r>
          </w:p>
        </w:tc>
      </w:tr>
      <w:tr>
        <w:trPr>
          <w:cantSplit/>
        </w:trPr>
        <w:tc>
          <w:tcPr>
            <w:tcW w:type="dxa" w:w="518"/>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5"/>
              </w:rPr>
              <w:t>4</w:t>
            </w:r>
          </w:p>
        </w:tc>
        <w:tc>
          <w:tcPr>
            <w:tcW w:type="dxa" w:w="1037"/>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椒江区</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椒江区教育局</w:t>
            </w:r>
          </w:p>
        </w:tc>
        <w:tc>
          <w:tcPr>
            <w:tcW w:type="dxa" w:w="1123"/>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待补</w:t>
            </w:r>
          </w:p>
        </w:tc>
        <w:tc>
          <w:tcPr>
            <w:tcW w:type="dxa" w:w="1325"/>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2025-09-12（结果）</w:t>
            </w:r>
          </w:p>
        </w:tc>
        <w:tc>
          <w:tcPr>
            <w:tcW w:type="dxa" w:w="979"/>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802.70</w:t>
            </w:r>
          </w:p>
        </w:tc>
        <w:tc>
          <w:tcPr>
            <w:tcW w:type="dxa" w:w="2506"/>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地方教材、教学辅助材料及学具</w:t>
            </w:r>
          </w:p>
        </w:tc>
      </w:tr>
      <w:tr>
        <w:trPr>
          <w:cantSplit/>
        </w:trPr>
        <w:tc>
          <w:tcPr>
            <w:tcW w:type="dxa" w:w="518"/>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5"/>
              </w:rPr>
              <w:t>5</w:t>
            </w:r>
          </w:p>
        </w:tc>
        <w:tc>
          <w:tcPr>
            <w:tcW w:type="dxa" w:w="1037"/>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鄞州区</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鄞州区教育后勤保障与信息管理中心</w:t>
            </w:r>
          </w:p>
        </w:tc>
        <w:tc>
          <w:tcPr>
            <w:tcW w:type="dxa" w:w="1123"/>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待补</w:t>
            </w:r>
          </w:p>
        </w:tc>
        <w:tc>
          <w:tcPr>
            <w:tcW w:type="dxa" w:w="1325"/>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2025-10-14（结果）</w:t>
            </w:r>
          </w:p>
        </w:tc>
        <w:tc>
          <w:tcPr>
            <w:tcW w:type="dxa" w:w="979"/>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3,647.50</w:t>
            </w:r>
          </w:p>
        </w:tc>
        <w:tc>
          <w:tcPr>
            <w:tcW w:type="dxa" w:w="2506"/>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免费教材及部分配套教辅学习资料，分3个标项</w:t>
            </w:r>
          </w:p>
        </w:tc>
      </w:tr>
      <w:tr>
        <w:trPr>
          <w:cantSplit/>
        </w:trPr>
        <w:tc>
          <w:tcPr>
            <w:tcW w:type="dxa" w:w="518"/>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5"/>
              </w:rPr>
              <w:t>6</w:t>
            </w:r>
          </w:p>
        </w:tc>
        <w:tc>
          <w:tcPr>
            <w:tcW w:type="dxa" w:w="1037"/>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婺城区</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婺城区教育局</w:t>
            </w:r>
          </w:p>
        </w:tc>
        <w:tc>
          <w:tcPr>
            <w:tcW w:type="dxa" w:w="1123"/>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2025-11-07</w:t>
            </w:r>
          </w:p>
        </w:tc>
        <w:tc>
          <w:tcPr>
            <w:tcW w:type="dxa" w:w="1325"/>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2025-11-24</w:t>
            </w:r>
          </w:p>
        </w:tc>
        <w:tc>
          <w:tcPr>
            <w:tcW w:type="dxa" w:w="979"/>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900.00</w:t>
            </w:r>
          </w:p>
        </w:tc>
        <w:tc>
          <w:tcPr>
            <w:tcW w:type="dxa" w:w="2506"/>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小学教辅材料、地方教材、配套学具</w:t>
            </w:r>
          </w:p>
        </w:tc>
      </w:tr>
      <w:tr>
        <w:trPr>
          <w:cantSplit/>
        </w:trPr>
        <w:tc>
          <w:tcPr>
            <w:tcW w:type="dxa" w:w="518"/>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5"/>
              </w:rPr>
              <w:t>7</w:t>
            </w:r>
          </w:p>
        </w:tc>
        <w:tc>
          <w:tcPr>
            <w:tcW w:type="dxa" w:w="1037"/>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义乌市</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义乌市教育局</w:t>
            </w:r>
          </w:p>
        </w:tc>
        <w:tc>
          <w:tcPr>
            <w:tcW w:type="dxa" w:w="1123"/>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2025-11-12</w:t>
            </w:r>
          </w:p>
        </w:tc>
        <w:tc>
          <w:tcPr>
            <w:tcW w:type="dxa" w:w="1325"/>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2025-12-03</w:t>
            </w:r>
          </w:p>
        </w:tc>
        <w:tc>
          <w:tcPr>
            <w:tcW w:type="dxa" w:w="979"/>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5,700.00</w:t>
            </w:r>
          </w:p>
        </w:tc>
        <w:tc>
          <w:tcPr>
            <w:tcW w:type="dxa" w:w="2506"/>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教辅材料、地方专题教育材料等</w:t>
            </w:r>
          </w:p>
        </w:tc>
      </w:tr>
      <w:tr>
        <w:trPr>
          <w:cantSplit/>
        </w:trPr>
        <w:tc>
          <w:tcPr>
            <w:tcW w:type="dxa" w:w="518"/>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5"/>
              </w:rPr>
              <w:t>8</w:t>
            </w:r>
          </w:p>
        </w:tc>
        <w:tc>
          <w:tcPr>
            <w:tcW w:type="dxa" w:w="1037"/>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莲都区</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莲都区教育局</w:t>
            </w:r>
          </w:p>
        </w:tc>
        <w:tc>
          <w:tcPr>
            <w:tcW w:type="dxa" w:w="1123"/>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2025-12-30</w:t>
            </w:r>
          </w:p>
        </w:tc>
        <w:tc>
          <w:tcPr>
            <w:tcW w:type="dxa" w:w="1325"/>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2026-01-20</w:t>
            </w:r>
          </w:p>
        </w:tc>
        <w:tc>
          <w:tcPr>
            <w:tcW w:type="dxa" w:w="979"/>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880.00</w:t>
            </w:r>
          </w:p>
        </w:tc>
        <w:tc>
          <w:tcPr>
            <w:tcW w:type="dxa" w:w="2506"/>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5"/>
              </w:rPr>
              <w:t>2025学年第二学期教辅材料、地方教材、学具</w:t>
            </w:r>
          </w:p>
        </w:tc>
      </w:tr>
    </w:tbl>
    <w:p>
      <w:pPr>
        <w:spacing w:after="0"/>
      </w:pPr>
    </w:p>
    <w:p>
      <w:pPr>
        <w:spacing w:before="0" w:after="40" w:lineRule="auto" w:line="264"/>
        <w:ind w:firstLine="420"/>
      </w:pPr>
      <w:r>
        <w:rPr>
          <w:rFonts w:ascii="STSong" w:hAnsi="STSong" w:eastAsia="STSong"/>
          <w:b w:val="0"/>
          <w:i w:val="0"/>
          <w:color w:val="000000"/>
          <w:sz w:val="21"/>
        </w:rPr>
        <w:t>注：云和县等项目的公告、开标、结果和合同日期需由被审计单位补齐；预算合计数不作为问题金额。</w:t>
      </w:r>
    </w:p>
    <w:p>
      <w:pPr>
        <w:pStyle w:val="Heading1"/>
        <w:keepNext/>
      </w:pPr>
      <w:r>
        <w:rPr>
          <w:rFonts w:ascii="Alibaba PuHuiTi B" w:hAnsi="Alibaba PuHuiTi B" w:eastAsia="Alibaba PuHuiTi B"/>
          <w:b w:val="0"/>
          <w:i w:val="0"/>
          <w:color w:val="1F4E79"/>
          <w:sz w:val="32"/>
        </w:rPr>
        <w:t>三、审计发现</w:t>
      </w:r>
    </w:p>
    <w:p>
      <w:pPr>
        <w:keepNext/>
        <w:spacing w:before="160" w:after="80"/>
      </w:pPr>
      <w:r>
        <w:rPr>
          <w:rFonts w:ascii="Alibaba PuHuiTi B" w:hAnsi="Alibaba PuHuiTi B" w:eastAsia="Alibaba PuHuiTi B"/>
          <w:b w:val="0"/>
          <w:i w:val="0"/>
          <w:color w:val="000000"/>
          <w:sz w:val="23"/>
        </w:rPr>
        <w:t>（一）地方教材等品目分类和采购方式论证不充分，14家基层店公开招标失败后转为单一来源采购</w:t>
      </w:r>
    </w:p>
    <w:p>
      <w:pPr>
        <w:spacing w:before="0" w:after="120" w:lineRule="auto" w:line="264"/>
        <w:ind w:firstLine="420"/>
      </w:pPr>
      <w:r>
        <w:rPr>
          <w:rFonts w:ascii="STSong" w:hAnsi="STSong" w:eastAsia="STSong"/>
          <w:b w:val="0"/>
          <w:i w:val="0"/>
          <w:color w:val="000000"/>
          <w:sz w:val="21"/>
        </w:rPr>
        <w:t>经核对，省店提供的统计表仅列示各基层店是否通过政府采购程序及最终采购方式，未按地方课程教材、地方专题教育材料、教辅材料、配套作业本、学具等品目分别记录发行资质、出版单位或著作权人授权、可供货供应商数量、市场调查结论及采购方式论证资料。现有资料不能说明各项目是否在采购前对“只能从唯一供应商处采购”的品目作出识别，也不能说明混合采购包是否按竞争条件进行合理拆分。</w:t>
      </w:r>
    </w:p>
    <w:p>
      <w:pPr>
        <w:spacing w:before="0" w:after="120" w:lineRule="auto" w:line="264"/>
        <w:ind w:firstLine="420"/>
      </w:pPr>
      <w:r>
        <w:rPr>
          <w:rFonts w:ascii="STSong" w:hAnsi="STSong" w:eastAsia="STSong"/>
          <w:b w:val="0"/>
          <w:i w:val="0"/>
          <w:color w:val="000000"/>
          <w:sz w:val="21"/>
        </w:rPr>
        <w:t>从结果看，38家通过政府采购程序实施地方教材等项目的基层店中，萧山区、临安区、乐清市、金华市、兰溪市、武义县、浦江县、丽水市、云和县、龙泉市、缙云县、遂昌县、松阳县、景宁县等14家先行公开招标失败后转为单一来源采购，占38家的36.84%。公开招标未形成有效竞争后再变更采购方式，重复履行采购程序，增加了基层店投标准备、授权资料归集、报价编制和协调沟通等工作量。被审计单位尚未提供上述项目公开招标失败原因、有效投标供应商数量、采购方式变更审批及最终合同资料，无法判断是品目本身仅有唯一供应商，还是资格条件、标包划分、采购时点等其他因素导致。</w:t>
      </w:r>
    </w:p>
    <w:p>
      <w:pPr>
        <w:spacing w:before="0" w:after="120" w:lineRule="auto" w:line="264"/>
        <w:ind w:firstLine="420"/>
      </w:pPr>
      <w:r>
        <w:rPr>
          <w:rFonts w:ascii="STSong" w:hAnsi="STSong" w:eastAsia="STSong"/>
          <w:b w:val="0"/>
          <w:i w:val="0"/>
          <w:color w:val="000000"/>
          <w:sz w:val="21"/>
        </w:rPr>
        <w:t>抽查采购清单进一步表明，相关项目不能按整包统一认定。金华市本级采购清单共379项，其中地方管理的国家课程教材18项、地方专题教育材料29项、教辅材料300项、学具32项；椒江区项目中标报价802.7215万元，其中“心理健康”12.8309万元、“巩固提高、学能评价”589.0582万元、“课堂作业”67.7858万元、学具133.0466万元。不同品目的发行准入和市场供应条件存在差异，应逐项核验后确定适用的采购方式和问题金额。景宁县2026年春季项目预算180万元，于2026年2月10日公开招标失败，后续是否转为单一来源、转换审批和最终合同情况尚待补充。</w:t>
      </w:r>
    </w:p>
    <w:tbl>
      <w:tblPr>
        <w:tblW w:type="dxa" w:w="9360"/>
        <w:jc w:val="left"/>
        <w:tblLayout w:type="fixed"/>
        <w:tblLook w:firstColumn="1" w:firstRow="1" w:lastColumn="0" w:lastRow="0" w:noHBand="0" w:noVBand="1" w:val="04A0"/>
        <w:tblInd w:w="12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Grid>
        <w:gridCol w:w="9360"/>
      </w:tblGrid>
      <w:tr>
        <w:trPr>
          <w:cantSplit/>
        </w:trPr>
        <w:tc>
          <w:tcPr>
            <w:tcW w:type="dxa" w:w="9360"/>
            <w:shd w:fill="F2F2F2"/>
            <w:tcMar>
              <w:top w:w="120" w:type="dxa"/>
              <w:start w:w="120" w:type="dxa"/>
              <w:bottom w:w="120" w:type="dxa"/>
              <w:end w:w="120" w:type="dxa"/>
            </w:tcMar>
          </w:tcPr>
          <w:p>
            <w:pPr>
              <w:spacing w:before="0" w:after="0" w:lineRule="auto" w:line="264"/>
            </w:pPr>
            <w:r>
              <w:rPr>
                <w:rFonts w:ascii="Alibaba PuHuiTi B" w:hAnsi="Alibaba PuHuiTi B" w:eastAsia="Alibaba PuHuiTi B"/>
                <w:b w:val="0"/>
                <w:i w:val="0"/>
                <w:color w:val="1F4E79"/>
                <w:sz w:val="21"/>
              </w:rPr>
              <w:t>需锁定的结论：</w:t>
            </w:r>
            <w:r>
              <w:rPr>
                <w:rFonts w:ascii="STSong" w:hAnsi="STSong" w:eastAsia="STSong"/>
                <w:b w:val="0"/>
                <w:i w:val="0"/>
                <w:color w:val="000000"/>
                <w:sz w:val="21"/>
              </w:rPr>
              <w:t>省店应说明是否建立地方教材等采购品目分类、唯一供应证据审核和采购方式指导机制；14个“公开招标失败后转单一来源”项目应逐项取得失败公告、评审报告、方式变更审批、单一来源论证及最终合同。只有同时取得唯一供应证据和对应品目金额，才能认定可避免的重复采购程序及其金额。</w:t>
            </w:r>
          </w:p>
        </w:tc>
      </w:tr>
    </w:tbl>
    <w:p>
      <w:pPr>
        <w:spacing w:after="0"/>
      </w:pPr>
    </w:p>
    <w:p>
      <w:pPr>
        <w:keepNext/>
        <w:spacing w:before="160" w:after="80"/>
      </w:pPr>
      <w:r>
        <w:rPr>
          <w:rFonts w:ascii="Alibaba PuHuiTi B" w:hAnsi="Alibaba PuHuiTi B" w:eastAsia="Alibaba PuHuiTi B"/>
          <w:b w:val="0"/>
          <w:i w:val="0"/>
          <w:color w:val="000000"/>
          <w:sz w:val="23"/>
        </w:rPr>
        <w:t>（二）部分秋季项目采购实施时序滞后，4个项目开标或结果公告距开学不足4日或晚于开学</w:t>
      </w:r>
    </w:p>
    <w:p>
      <w:pPr>
        <w:spacing w:before="0" w:after="120" w:lineRule="auto" w:line="264"/>
        <w:ind w:firstLine="420"/>
      </w:pPr>
      <w:r>
        <w:rPr>
          <w:rFonts w:ascii="STSong" w:hAnsi="STSong" w:eastAsia="STSong"/>
          <w:b w:val="0"/>
          <w:i w:val="0"/>
          <w:color w:val="000000"/>
          <w:sz w:val="21"/>
        </w:rPr>
        <w:t>《政府采购需求管理办法》要求充分考虑采购活动所需时间和可能影响采购活动进行的因素，合理安排采购实施时间。教材发行还应保证课前到书。以金华市本级招标文件明确的2025年9月1日秋季教材到校时点作为比对基准，金华市本级项目于8月28日开标，距约定到校时点仅4个日历日；余杭区项目于9月5日开标；椒江区项目于9月12日公告中标结果；鄞州区2025年秋季项目于10月14日公告中标结果。后3个节点均晚于9月1日，采购程序与开学供书时点衔接不紧。</w:t>
      </w:r>
    </w:p>
    <w:p>
      <w:pPr>
        <w:spacing w:before="0" w:after="120" w:lineRule="auto" w:line="264"/>
        <w:ind w:firstLine="420"/>
      </w:pPr>
      <w:r>
        <w:rPr>
          <w:rFonts w:ascii="STSong" w:hAnsi="STSong" w:eastAsia="STSong"/>
          <w:b w:val="0"/>
          <w:i w:val="0"/>
          <w:color w:val="000000"/>
          <w:sz w:val="21"/>
        </w:rPr>
        <w:t>此外，婺城区项目于2025年11月24日开标，义乌市项目于12月3日开标，均以“2025学年”为项目期间；莲都区2025学年第二学期项目于2026年1月20日开标。现有资料未完整列示中标通知书发出日、合同签订日、首次供货日、学校验收日及开学日，尚不能确认是否存在合同签订晚于开学、先供货后签约或者中标通知书发出30日后签约的情形。省店现有统计未涵盖上述关键节点，不利于及时识别基层店合同倒签、无合同履约和课前到书风险。</w:t>
      </w:r>
    </w:p>
    <w:tbl>
      <w:tblPr>
        <w:tblW w:type="dxa" w:w="9360"/>
        <w:jc w:val="left"/>
        <w:tblLayout w:type="fixed"/>
        <w:tblLook w:firstColumn="1" w:firstRow="1" w:lastColumn="0" w:lastRow="0" w:noHBand="0" w:noVBand="1" w:val="04A0"/>
        <w:tblInd w:w="12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Grid>
        <w:gridCol w:w="9360"/>
      </w:tblGrid>
      <w:tr>
        <w:trPr>
          <w:cantSplit/>
        </w:trPr>
        <w:tc>
          <w:tcPr>
            <w:tcW w:type="dxa" w:w="9360"/>
            <w:shd w:fill="F2F2F2"/>
            <w:tcMar>
              <w:top w:w="120" w:type="dxa"/>
              <w:start w:w="120" w:type="dxa"/>
              <w:bottom w:w="120" w:type="dxa"/>
              <w:end w:w="120" w:type="dxa"/>
            </w:tcMar>
          </w:tcPr>
          <w:p>
            <w:pPr>
              <w:spacing w:before="0" w:after="0" w:lineRule="auto" w:line="264"/>
            </w:pPr>
            <w:r>
              <w:rPr>
                <w:rFonts w:ascii="Alibaba PuHuiTi B" w:hAnsi="Alibaba PuHuiTi B" w:eastAsia="Alibaba PuHuiTi B"/>
                <w:b w:val="0"/>
                <w:i w:val="0"/>
                <w:color w:val="1F4E79"/>
                <w:sz w:val="21"/>
              </w:rPr>
              <w:t>需锁定的结论：</w:t>
            </w:r>
            <w:r>
              <w:rPr>
                <w:rFonts w:ascii="STSong" w:hAnsi="STSong" w:eastAsia="STSong"/>
                <w:b w:val="0"/>
                <w:i w:val="0"/>
                <w:color w:val="000000"/>
                <w:sz w:val="21"/>
              </w:rPr>
              <w:t>逐项目核对招标公告、结果公告、中标通知书、合同、首批发货单、学校签收单和校历。合同签订日晚于中标通知书30日的，另行按政府采购合同订立时限认定；首次供货早于合同签订日的，作为先履约后签约问题；合同签订或首次供货晚于开学日的，结合是否影响课前到书及原因审批作出评价。</w:t>
            </w:r>
          </w:p>
        </w:tc>
      </w:tr>
    </w:tbl>
    <w:p>
      <w:pPr>
        <w:spacing w:after="0"/>
      </w:pPr>
    </w:p>
    <w:p>
      <w:pPr>
        <w:keepNext/>
        <w:spacing w:before="160" w:after="80"/>
      </w:pPr>
      <w:r>
        <w:rPr>
          <w:rFonts w:ascii="Alibaba PuHuiTi B" w:hAnsi="Alibaba PuHuiTi B" w:eastAsia="Alibaba PuHuiTi B"/>
          <w:b w:val="0"/>
          <w:i w:val="0"/>
          <w:color w:val="000000"/>
          <w:sz w:val="23"/>
        </w:rPr>
        <w:t>（三）部分社会代理项目由中标新华书店承担代理服务费，2个项目按采购文件测算约13.47万元</w:t>
      </w:r>
    </w:p>
    <w:p>
      <w:pPr>
        <w:spacing w:before="0" w:after="120" w:lineRule="auto" w:line="264"/>
        <w:ind w:firstLine="420"/>
      </w:pPr>
      <w:r>
        <w:rPr>
          <w:rFonts w:ascii="STSong" w:hAnsi="STSong" w:eastAsia="STSong"/>
          <w:b w:val="0"/>
          <w:i w:val="0"/>
          <w:color w:val="000000"/>
          <w:sz w:val="21"/>
        </w:rPr>
        <w:t>抽查发现，部分项目采购文件约定代理服务费由中标供应商承担，并明确投标报价包含代理服务费。婺城区项目最高限价890万元，代理服务费按原国家计委计价格〔2002〕1980号货物类标准的80%计取，按最高限价测算约7.216万元；莲都区项目预算880万元，按货物类标准的70%计取，按预算金额测算约6.258万元，2个项目合计约13.474万元。上述金额为依据采购文件和预算（最高限价）测算的理论金额，不等同于实际支付金额。</w:t>
      </w:r>
    </w:p>
    <w:p>
      <w:pPr>
        <w:spacing w:before="0" w:after="120" w:lineRule="auto" w:line="264"/>
        <w:ind w:firstLine="420"/>
      </w:pPr>
      <w:r>
        <w:rPr>
          <w:rFonts w:ascii="STSong" w:hAnsi="STSong" w:eastAsia="STSong"/>
          <w:b w:val="0"/>
          <w:i w:val="0"/>
          <w:color w:val="000000"/>
          <w:sz w:val="21"/>
        </w:rPr>
        <w:t>景宁县2026年春季项目预算180万元，采购文件约定由中标供应商按货物类标准支付代理服务费，且报价包含招标代理费；该项目公开招标失败，是否发生代理服务费、后续采购是否再次发生费用，需以代理协议、发票和付款凭证为准。椒江区、鄞州区项目由政府集中采购机构组织，公开结果载明代理服务费为0，说明不同组织方式下新华书店承担的显性采购成本存在差异。代理服务费作为投标成本，可能通过供货折扣、项目利润等方式消化。省店未提供2025学年各基层店投标费用、代理服务费、项目毛利和公开招标失败后重复投入情况的汇总台账，无法评价项目综合效益及可避免成本。</w:t>
      </w:r>
    </w:p>
    <w:tbl>
      <w:tblPr>
        <w:tblW w:type="dxa" w:w="9360"/>
        <w:jc w:val="left"/>
        <w:tblLayout w:type="fixed"/>
        <w:tblLook w:firstColumn="1" w:firstRow="1" w:lastColumn="0" w:lastRow="0" w:noHBand="0" w:noVBand="1" w:val="04A0"/>
        <w:tblInd w:w="12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Grid>
        <w:gridCol w:w="9360"/>
      </w:tblGrid>
      <w:tr>
        <w:trPr>
          <w:cantSplit/>
        </w:trPr>
        <w:tc>
          <w:tcPr>
            <w:tcW w:type="dxa" w:w="9360"/>
            <w:shd w:fill="F2F2F2"/>
            <w:tcMar>
              <w:top w:w="120" w:type="dxa"/>
              <w:start w:w="120" w:type="dxa"/>
              <w:bottom w:w="120" w:type="dxa"/>
              <w:end w:w="120" w:type="dxa"/>
            </w:tcMar>
          </w:tcPr>
          <w:p>
            <w:pPr>
              <w:spacing w:before="0" w:after="0" w:lineRule="auto" w:line="264"/>
            </w:pPr>
            <w:r>
              <w:rPr>
                <w:rFonts w:ascii="Alibaba PuHuiTi B" w:hAnsi="Alibaba PuHuiTi B" w:eastAsia="Alibaba PuHuiTi B"/>
                <w:b w:val="0"/>
                <w:i w:val="0"/>
                <w:color w:val="1F4E79"/>
                <w:sz w:val="21"/>
              </w:rPr>
              <w:t>需锁定的结论：</w:t>
            </w:r>
            <w:r>
              <w:rPr>
                <w:rFonts w:ascii="STSong" w:hAnsi="STSong" w:eastAsia="STSong"/>
                <w:b w:val="0"/>
                <w:i w:val="0"/>
                <w:color w:val="000000"/>
                <w:sz w:val="21"/>
              </w:rPr>
              <w:t>按每一轮采购收集代理协议、收费通知、发票、付款凭证和会计分录，区分政府集中采购机构与社会代理机构、成功与失败轮次，核实实际支付人、实际金额以及是否计入报价或项目成本。代理服务费的承担本身不当然构成违法问题，应与采购方式论证、重复招标及项目效益一并评价。</w:t>
            </w:r>
          </w:p>
        </w:tc>
      </w:tr>
    </w:tbl>
    <w:p>
      <w:pPr>
        <w:spacing w:after="0"/>
      </w:pPr>
    </w:p>
    <w:p>
      <w:pPr>
        <w:pStyle w:val="Heading1"/>
        <w:keepNext/>
      </w:pPr>
      <w:r>
        <w:rPr>
          <w:rFonts w:ascii="Alibaba PuHuiTi B" w:hAnsi="Alibaba PuHuiTi B" w:eastAsia="Alibaba PuHuiTi B"/>
          <w:b w:val="0"/>
          <w:i w:val="0"/>
          <w:color w:val="1F4E79"/>
          <w:sz w:val="32"/>
        </w:rPr>
        <w:t>四、法规依据及建议表述</w:t>
      </w:r>
    </w:p>
    <w:tbl>
      <w:tblPr>
        <w:tblW w:type="dxa" w:w="9360"/>
        <w:tblLayout w:type="fixed"/>
        <w:tblLook w:firstColumn="1" w:firstRow="1" w:lastColumn="0" w:lastRow="0" w:noHBand="0" w:noVBand="1" w:val="04A0"/>
        <w:jc w:val="lef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Ind w:w="120" w:type="dxa"/>
      </w:tblPr>
      <w:tblGrid>
        <w:gridCol w:w="3053"/>
        <w:gridCol w:w="3427"/>
        <w:gridCol w:w="2880"/>
      </w:tblGrid>
      <w:tr>
        <w:trPr>
          <w:tblHeader w:val="true"/>
          <w:cantSplit/>
        </w:trPr>
        <w:tc>
          <w:tcPr>
            <w:tcW w:type="dxa" w:w="3053"/>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7"/>
              </w:rPr>
              <w:t>依据</w:t>
            </w:r>
          </w:p>
        </w:tc>
        <w:tc>
          <w:tcPr>
            <w:tcW w:type="dxa" w:w="3427"/>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7"/>
              </w:rPr>
              <w:t>核心要求</w:t>
            </w:r>
          </w:p>
        </w:tc>
        <w:tc>
          <w:tcPr>
            <w:tcW w:type="dxa" w:w="2880"/>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7"/>
              </w:rPr>
              <w:t>本事项适用边界</w:t>
            </w:r>
          </w:p>
        </w:tc>
      </w:tr>
      <w:tr>
        <w:trPr>
          <w:cantSplit/>
        </w:trPr>
        <w:tc>
          <w:tcPr>
            <w:tcW w:type="dxa" w:w="3053"/>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《中华人民共和国政府采购法》第二十六条</w:t>
            </w:r>
          </w:p>
        </w:tc>
        <w:tc>
          <w:tcPr>
            <w:tcW w:type="dxa" w:w="3427"/>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公开招标为政府采购的主要采购方式。</w:t>
            </w:r>
          </w:p>
        </w:tc>
        <w:tc>
          <w:tcPr>
            <w:tcW w:type="dxa" w:w="2880"/>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避免将“采用公开招标”直接定性为违规。</w:t>
            </w:r>
          </w:p>
        </w:tc>
      </w:tr>
      <w:tr>
        <w:trPr>
          <w:cantSplit/>
        </w:trPr>
        <w:tc>
          <w:tcPr>
            <w:tcW w:type="dxa" w:w="3053"/>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《中华人民共和国政府采购法》第三十一条第一项</w:t>
            </w:r>
          </w:p>
        </w:tc>
        <w:tc>
          <w:tcPr>
            <w:tcW w:type="dxa" w:w="3427"/>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符合“只能从唯一供应商处采购”情形的，可以采用单一来源方式。</w:t>
            </w:r>
          </w:p>
        </w:tc>
        <w:tc>
          <w:tcPr>
            <w:tcW w:type="dxa" w:w="2880"/>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需逐品目取得唯一供应证据后适用。</w:t>
            </w:r>
          </w:p>
        </w:tc>
      </w:tr>
      <w:tr>
        <w:trPr>
          <w:cantSplit/>
        </w:trPr>
        <w:tc>
          <w:tcPr>
            <w:tcW w:type="dxa" w:w="3053"/>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《中华人民共和国政府采购法》第三十六条、第三十七条</w:t>
            </w:r>
          </w:p>
        </w:tc>
        <w:tc>
          <w:tcPr>
            <w:tcW w:type="dxa" w:w="3427"/>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有效供应商不足3家等情形应予废标；废标后需要采用其他采购方式的，应依法履行审批程序。</w:t>
            </w:r>
          </w:p>
        </w:tc>
        <w:tc>
          <w:tcPr>
            <w:tcW w:type="dxa" w:w="2880"/>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用于核验14个公开招标失败后转单一来源项目。</w:t>
            </w:r>
          </w:p>
        </w:tc>
      </w:tr>
      <w:tr>
        <w:trPr>
          <w:cantSplit/>
        </w:trPr>
        <w:tc>
          <w:tcPr>
            <w:tcW w:type="dxa" w:w="3053"/>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《政府采购需求管理办法》第十三条、第十五条、第十七条、第十九条</w:t>
            </w:r>
          </w:p>
        </w:tc>
        <w:tc>
          <w:tcPr>
            <w:tcW w:type="dxa" w:w="3427"/>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采购实施计划应包括采购方式、标包划分、合同订立及履约安排；应合理安排采购时间，并使采购方式、评审方法与需求特点相适应。</w:t>
            </w:r>
          </w:p>
        </w:tc>
        <w:tc>
          <w:tcPr>
            <w:tcW w:type="dxa" w:w="2880"/>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作为品目分类、标包安排、方式论证和采购时序的主要评价依据。</w:t>
            </w:r>
          </w:p>
        </w:tc>
      </w:tr>
      <w:tr>
        <w:trPr>
          <w:cantSplit/>
        </w:trPr>
        <w:tc>
          <w:tcPr>
            <w:tcW w:type="dxa" w:w="3053"/>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《中小学教材管理办法》第二十三条、第二十四条</w:t>
            </w:r>
          </w:p>
        </w:tc>
        <w:tc>
          <w:tcPr>
            <w:tcW w:type="dxa" w:w="3427"/>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教材出版、发行单位应依法取得相应资质；教材发行应确保课前到书、人手一册。</w:t>
            </w:r>
          </w:p>
        </w:tc>
        <w:tc>
          <w:tcPr>
            <w:tcW w:type="dxa" w:w="2880"/>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用于核验发行资质和供货时点。</w:t>
            </w:r>
          </w:p>
        </w:tc>
      </w:tr>
      <w:tr>
        <w:trPr>
          <w:cantSplit/>
        </w:trPr>
        <w:tc>
          <w:tcPr>
            <w:tcW w:type="dxa" w:w="3053"/>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《政府采购货物和服务招标投标管理办法》第七十一条</w:t>
            </w:r>
          </w:p>
        </w:tc>
        <w:tc>
          <w:tcPr>
            <w:tcW w:type="dxa" w:w="3427"/>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采购人应自中标通知书发出之日起30日内签订书面合同。</w:t>
            </w:r>
          </w:p>
        </w:tc>
        <w:tc>
          <w:tcPr>
            <w:tcW w:type="dxa" w:w="2880"/>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仅在取得中标通知书日和合同签订日后判断是否违反。</w:t>
            </w:r>
          </w:p>
        </w:tc>
      </w:tr>
    </w:tbl>
    <w:p>
      <w:pPr>
        <w:spacing w:after="0"/>
      </w:pPr>
    </w:p>
    <w:p>
      <w:pPr>
        <w:spacing w:before="0" w:after="120" w:lineRule="auto" w:line="264"/>
        <w:ind w:firstLine="420"/>
      </w:pPr>
      <w:r>
        <w:rPr>
          <w:rFonts w:ascii="STSong" w:hAnsi="STSong" w:eastAsia="STSong"/>
          <w:b w:val="0"/>
          <w:i w:val="0"/>
          <w:color w:val="000000"/>
          <w:sz w:val="21"/>
        </w:rPr>
        <w:t>建议最终定性表述：浙江省新华书店集团对地方教材等政府采购业务的品目分类、采购方式论证、采购时序和投标成本缺少统一统计分析和业务指导，部分基层店对具备唯一供应可能性的品目未在采购前充分核实供应商范围并形成论证材料，出现公开招标失败后再转单一来源；部分项目采购节点接近或晚于开学，部分中标新华书店另行承担代理服务费。上述情况增加了重复采购程序和投标组织成本，并形成合同订立滞后、先履约后签约以及课前到书等管理风险。具体涉及项目、问题金额及责任认定，以被审计单位补充的品目、合同和费用资料核实结果为准。</w:t>
      </w:r>
    </w:p>
    <w:p>
      <w:pPr>
        <w:sectPr>
          <w:headerReference w:type="default" r:id="rId9"/>
          <w:footerReference w:type="default" r:id="rId10"/>
          <w:pgSz w:w="11906" w:h="16838"/>
          <w:pgMar w:top="1304" w:right="1276" w:bottom="1247" w:left="1276" w:header="709" w:footer="709" w:gutter="0"/>
          <w:cols w:space="720"/>
          <w:docGrid w:linePitch="360"/>
        </w:sectPr>
      </w:pPr>
    </w:p>
    <w:p>
      <w:pPr>
        <w:pStyle w:val="Heading1"/>
        <w:keepNext/>
      </w:pPr>
      <w:r>
        <w:rPr>
          <w:rFonts w:ascii="Alibaba PuHuiTi B" w:hAnsi="Alibaba PuHuiTi B" w:eastAsia="Alibaba PuHuiTi B"/>
          <w:b w:val="0"/>
          <w:i w:val="0"/>
          <w:color w:val="1F4E79"/>
          <w:sz w:val="32"/>
        </w:rPr>
        <w:t>附件一：省店补充填报表设计</w:t>
      </w:r>
    </w:p>
    <w:p>
      <w:pPr>
        <w:spacing w:before="0" w:after="120" w:lineRule="auto" w:line="264"/>
        <w:ind w:firstLine="420"/>
      </w:pPr>
      <w:r>
        <w:rPr>
          <w:rFonts w:ascii="STSong" w:hAnsi="STSong" w:eastAsia="STSong"/>
          <w:b w:val="0"/>
          <w:i w:val="0"/>
          <w:color w:val="000000"/>
          <w:sz w:val="21"/>
        </w:rPr>
        <w:t>建议将原《地方教材招投标统计》由单一汇总表调整为5张相互关联的工作表。统一使用“项目编号”作为主键；同一项目有多个标项的，应按“项目编号+标项编号”分别填报。金额以元为数值格式，日期统一为YYYY-MM-DD，所有结论必须填写对应证据编号。</w:t>
      </w:r>
    </w:p>
    <w:p>
      <w:pPr>
        <w:keepNext/>
        <w:spacing w:before="160" w:after="80"/>
      </w:pPr>
      <w:r>
        <w:rPr>
          <w:rFonts w:ascii="Alibaba PuHuiTi B" w:hAnsi="Alibaba PuHuiTi B" w:eastAsia="Alibaba PuHuiTi B"/>
          <w:b w:val="0"/>
          <w:i w:val="0"/>
          <w:color w:val="000000"/>
          <w:sz w:val="23"/>
        </w:rPr>
        <w:t>表1  项目主表（每个项目/标项一行）</w:t>
      </w:r>
    </w:p>
    <w:tbl>
      <w:tblPr>
        <w:tblW w:type="dxa" w:w="15120"/>
        <w:tblLayout w:type="fixed"/>
        <w:tblLook w:firstColumn="1" w:firstRow="1" w:lastColumn="0" w:lastRow="0" w:noHBand="0" w:noVBand="1" w:val="04A0"/>
        <w:jc w:val="lef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Ind w:w="120" w:type="dxa"/>
      </w:tblPr>
      <w:tblGrid>
        <w:gridCol w:w="1584"/>
        <w:gridCol w:w="8712"/>
        <w:gridCol w:w="1872"/>
        <w:gridCol w:w="2952"/>
      </w:tblGrid>
      <w:tr>
        <w:trPr>
          <w:tblHeader w:val="true"/>
          <w:cantSplit/>
        </w:trPr>
        <w:tc>
          <w:tcPr>
            <w:tcW w:type="dxa" w:w="1584"/>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字段组</w:t>
            </w:r>
          </w:p>
        </w:tc>
        <w:tc>
          <w:tcPr>
            <w:tcW w:type="dxa" w:w="8712"/>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建议字段</w:t>
            </w:r>
          </w:p>
        </w:tc>
        <w:tc>
          <w:tcPr>
            <w:tcW w:type="dxa" w:w="1872"/>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格式</w:t>
            </w:r>
          </w:p>
        </w:tc>
        <w:tc>
          <w:tcPr>
            <w:tcW w:type="dxa" w:w="2952"/>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主要依据</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基本标识</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项目编号、地区、基层店、采购单位、项目名称、项目编号、学年、学期、标项编号</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文本/下拉</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项目公告、内部项目台账</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采购金额</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预算金额、最高限价、最终合同金额、实际结算金额</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数值（元）</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招标文件、合同、结算单</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采购方式</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初始采购方式、最终采购方式、是否公开招标失败、失败次数、失败原因</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下拉+文本</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失败公告、评审报告</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方式变更</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变更日期、批准机关、批准文号、单一来源论证日期、公示日期</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日期/文本</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财政审批、论证意见、公示材料</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供应结果</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投标供应商数量、有效供应商数量、中标供应商、是否新华书店体系企业</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数值/下拉</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开标记录、评审报告、结果公告</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组织方式</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采购组织形式、代理机构、政府集中采购机构/社会代理机构</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下拉</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委托代理协议、公告</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证据索引</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关键证据编号、资料缺口、填报人、复核人、填报日期</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文本/日期</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与表5证据清单关联</w:t>
            </w:r>
          </w:p>
        </w:tc>
      </w:tr>
    </w:tbl>
    <w:p>
      <w:pPr>
        <w:spacing w:after="0"/>
      </w:pPr>
    </w:p>
    <w:p>
      <w:pPr>
        <w:keepNext/>
        <w:spacing w:before="160" w:after="80"/>
      </w:pPr>
      <w:r>
        <w:rPr>
          <w:rFonts w:ascii="Alibaba PuHuiTi B" w:hAnsi="Alibaba PuHuiTi B" w:eastAsia="Alibaba PuHuiTi B"/>
          <w:b w:val="0"/>
          <w:i w:val="0"/>
          <w:color w:val="000000"/>
          <w:sz w:val="23"/>
        </w:rPr>
        <w:t>表2  品目资格与唯一供应核验表（每一品目或同质品类一行）</w:t>
      </w:r>
    </w:p>
    <w:tbl>
      <w:tblPr>
        <w:tblW w:type="dxa" w:w="15120"/>
        <w:tblLayout w:type="fixed"/>
        <w:tblLook w:firstColumn="1" w:firstRow="1" w:lastColumn="0" w:lastRow="0" w:noHBand="0" w:noVBand="1" w:val="04A0"/>
        <w:jc w:val="lef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Ind w:w="120" w:type="dxa"/>
      </w:tblPr>
      <w:tblGrid>
        <w:gridCol w:w="1584"/>
        <w:gridCol w:w="8712"/>
        <w:gridCol w:w="1872"/>
        <w:gridCol w:w="2952"/>
      </w:tblGrid>
      <w:tr>
        <w:trPr>
          <w:tblHeader w:val="true"/>
          <w:cantSplit/>
        </w:trPr>
        <w:tc>
          <w:tcPr>
            <w:tcW w:type="dxa" w:w="1584"/>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字段组</w:t>
            </w:r>
          </w:p>
        </w:tc>
        <w:tc>
          <w:tcPr>
            <w:tcW w:type="dxa" w:w="8712"/>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建议字段</w:t>
            </w:r>
          </w:p>
        </w:tc>
        <w:tc>
          <w:tcPr>
            <w:tcW w:type="dxa" w:w="1872"/>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格式</w:t>
            </w:r>
          </w:p>
        </w:tc>
        <w:tc>
          <w:tcPr>
            <w:tcW w:type="dxa" w:w="2952"/>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主要依据</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关联字段</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项目编号、标项编号、品目序号</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文本</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与项目主表关联</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品目识别</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书名/品名、ISBN/商品编码、出版社/生产商、年级、学期、数量、定价、供货折扣、品目金额</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文本/数值</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采购清单、报价明细、结算单</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品目类别</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国家课程教材/地方课程教材/配套作业本/地方专题教育材料/评议教辅/学具/其他</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下拉</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教育部门选用目录、书目</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准入要求</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是否需中小学教科书发行资质、资质持有人、证书编号、有效期、年度核验状态</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下拉+文本</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资质证书、年度核验文件</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授权关系</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是否独家授权、授权人、被授权人、授权文号、授权期限、是否覆盖本项目和本地区</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下拉+文本</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出版单位/著作权人授权原件</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供应市场</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市场调查日期、调查对象、可供货供应商数量、其他供应商名称、不能供货原因</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数值/文本</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市场调查记录、书面询证</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审计判断</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是否具备唯一供应情形、建议采购方式、原采购方式、是否存在方式论证不足、涉及金额</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公式/下拉</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由前述证据综合判断</w:t>
            </w:r>
          </w:p>
        </w:tc>
      </w:tr>
    </w:tbl>
    <w:p>
      <w:pPr>
        <w:spacing w:after="0"/>
      </w:pPr>
    </w:p>
    <w:p>
      <w:pPr>
        <w:keepNext/>
        <w:spacing w:before="160" w:after="80"/>
      </w:pPr>
      <w:r>
        <w:rPr>
          <w:rFonts w:ascii="Alibaba PuHuiTi B" w:hAnsi="Alibaba PuHuiTi B" w:eastAsia="Alibaba PuHuiTi B"/>
          <w:b w:val="0"/>
          <w:i w:val="0"/>
          <w:color w:val="000000"/>
          <w:sz w:val="23"/>
        </w:rPr>
        <w:t>表3  采购、合同与履约时序表（每个项目/标项一行）</w:t>
      </w:r>
    </w:p>
    <w:tbl>
      <w:tblPr>
        <w:tblW w:type="dxa" w:w="15120"/>
        <w:tblLayout w:type="fixed"/>
        <w:tblLook w:firstColumn="1" w:firstRow="1" w:lastColumn="0" w:lastRow="0" w:noHBand="0" w:noVBand="1" w:val="04A0"/>
        <w:jc w:val="lef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Ind w:w="120" w:type="dxa"/>
      </w:tblPr>
      <w:tblGrid>
        <w:gridCol w:w="1584"/>
        <w:gridCol w:w="8712"/>
        <w:gridCol w:w="1872"/>
        <w:gridCol w:w="2952"/>
      </w:tblGrid>
      <w:tr>
        <w:trPr>
          <w:tblHeader w:val="true"/>
          <w:cantSplit/>
        </w:trPr>
        <w:tc>
          <w:tcPr>
            <w:tcW w:type="dxa" w:w="1584"/>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字段组</w:t>
            </w:r>
          </w:p>
        </w:tc>
        <w:tc>
          <w:tcPr>
            <w:tcW w:type="dxa" w:w="8712"/>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建议字段</w:t>
            </w:r>
          </w:p>
        </w:tc>
        <w:tc>
          <w:tcPr>
            <w:tcW w:type="dxa" w:w="1872"/>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格式</w:t>
            </w:r>
          </w:p>
        </w:tc>
        <w:tc>
          <w:tcPr>
            <w:tcW w:type="dxa" w:w="2952"/>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主要依据</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采购节点</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采购需求确定日、采购计划审批日、代理委托日、公告日、投标截止/开标日、结果公告日、中标通知书日</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日期</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审批资料、采购公告、结果公告</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合同节点</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合同签订日、合同公告/备案日、合同有效期</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日期</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正式合同、政采云备案信息</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履约节点</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首批订货日、首次发货日、首次到校日、全部到校日、验收日、开学日</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日期</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订单、发货单、签收单、验收单、校历</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自动判断</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中标通知至签约天数、是否超过30日、是否先履约后签约、是否晚于开学到书</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公式</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由日期字段自动计算</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原因及审批</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滞后原因、责任部门、是否书面审批、补救措施、是否影响教学</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文本/下拉</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情况说明、审批记录、学校证明</w:t>
            </w:r>
          </w:p>
        </w:tc>
      </w:tr>
    </w:tbl>
    <w:p>
      <w:pPr>
        <w:spacing w:after="0"/>
      </w:pPr>
    </w:p>
    <w:p>
      <w:pPr>
        <w:keepNext/>
        <w:spacing w:before="160" w:after="80"/>
      </w:pPr>
      <w:r>
        <w:rPr>
          <w:rFonts w:ascii="Alibaba PuHuiTi B" w:hAnsi="Alibaba PuHuiTi B" w:eastAsia="Alibaba PuHuiTi B"/>
          <w:b w:val="0"/>
          <w:i w:val="0"/>
          <w:color w:val="000000"/>
          <w:sz w:val="23"/>
        </w:rPr>
        <w:t>表4  招标费用及项目成本表（每一采购轮次一行）</w:t>
      </w:r>
    </w:p>
    <w:tbl>
      <w:tblPr>
        <w:tblW w:type="dxa" w:w="15120"/>
        <w:tblLayout w:type="fixed"/>
        <w:tblLook w:firstColumn="1" w:firstRow="1" w:lastColumn="0" w:lastRow="0" w:noHBand="0" w:noVBand="1" w:val="04A0"/>
        <w:jc w:val="lef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Ind w:w="120" w:type="dxa"/>
      </w:tblPr>
      <w:tblGrid>
        <w:gridCol w:w="1584"/>
        <w:gridCol w:w="8712"/>
        <w:gridCol w:w="1872"/>
        <w:gridCol w:w="2952"/>
      </w:tblGrid>
      <w:tr>
        <w:trPr>
          <w:tblHeader w:val="true"/>
          <w:cantSplit/>
        </w:trPr>
        <w:tc>
          <w:tcPr>
            <w:tcW w:type="dxa" w:w="1584"/>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字段组</w:t>
            </w:r>
          </w:p>
        </w:tc>
        <w:tc>
          <w:tcPr>
            <w:tcW w:type="dxa" w:w="8712"/>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建议字段</w:t>
            </w:r>
          </w:p>
        </w:tc>
        <w:tc>
          <w:tcPr>
            <w:tcW w:type="dxa" w:w="1872"/>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格式</w:t>
            </w:r>
          </w:p>
        </w:tc>
        <w:tc>
          <w:tcPr>
            <w:tcW w:type="dxa" w:w="2952"/>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主要依据</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关联字段</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项目编号、标项编号、采购轮次、采购方式、成功/失败</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文本/下拉</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与项目主表关联</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代理信息</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代理机构、机构类型、代理协议编号、收费依据、计费基数、费率/折扣、付款义务人</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文本/数值</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代理协议、采购文件</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费用核实</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测算代理费、实际代理费、支付日期、发票号码、会计凭证号、失败后是否退费</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公式/数值</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发票、付款凭证、账簿</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其他投标成本</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标书制作、差旅、样品、履约保证、系统服务等可核实支出</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数值</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发票、报销单、保证金台账</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项目效益</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合同收入、采购成本、代理及投标成本、项目毛利、成本费用率</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公式</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合同、进销存、财务账</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成本归集</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是否计入报价、是否计入项目成本、最终承担主体、重复招标新增成本</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下拉/公式</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报价文件、成本核算表</w:t>
            </w:r>
          </w:p>
        </w:tc>
      </w:tr>
    </w:tbl>
    <w:p>
      <w:pPr>
        <w:spacing w:after="0"/>
      </w:pPr>
    </w:p>
    <w:p>
      <w:pPr>
        <w:keepNext/>
        <w:spacing w:before="160" w:after="80"/>
      </w:pPr>
      <w:r>
        <w:rPr>
          <w:rFonts w:ascii="Alibaba PuHuiTi B" w:hAnsi="Alibaba PuHuiTi B" w:eastAsia="Alibaba PuHuiTi B"/>
          <w:b w:val="0"/>
          <w:i w:val="0"/>
          <w:color w:val="000000"/>
          <w:sz w:val="23"/>
        </w:rPr>
        <w:t>表5  证据清单（每份资料一行）</w:t>
      </w:r>
    </w:p>
    <w:tbl>
      <w:tblPr>
        <w:tblW w:type="dxa" w:w="15120"/>
        <w:tblLayout w:type="fixed"/>
        <w:tblLook w:firstColumn="1" w:firstRow="1" w:lastColumn="0" w:lastRow="0" w:noHBand="0" w:noVBand="1" w:val="04A0"/>
        <w:jc w:val="lef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Ind w:w="120" w:type="dxa"/>
      </w:tblPr>
      <w:tblGrid>
        <w:gridCol w:w="1584"/>
        <w:gridCol w:w="8712"/>
        <w:gridCol w:w="1872"/>
        <w:gridCol w:w="2952"/>
      </w:tblGrid>
      <w:tr>
        <w:trPr>
          <w:tblHeader w:val="true"/>
          <w:cantSplit/>
        </w:trPr>
        <w:tc>
          <w:tcPr>
            <w:tcW w:type="dxa" w:w="1584"/>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字段组</w:t>
            </w:r>
          </w:p>
        </w:tc>
        <w:tc>
          <w:tcPr>
            <w:tcW w:type="dxa" w:w="8712"/>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建议字段</w:t>
            </w:r>
          </w:p>
        </w:tc>
        <w:tc>
          <w:tcPr>
            <w:tcW w:type="dxa" w:w="1872"/>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格式</w:t>
            </w:r>
          </w:p>
        </w:tc>
        <w:tc>
          <w:tcPr>
            <w:tcW w:type="dxa" w:w="2952"/>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填报要求</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索引</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证据编号、项目编号、标项编号、资料类别、资料名称</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文本/下拉</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建议编号：项目编号-资料类别-序号</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来源</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提供单位、形成单位、形成日期、取得日期、原件/复印件/电子件</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文本/日期</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记录证据来源和形式</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证明事项</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证明内容、对应问题、对应金额、对应品目</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文本/数值</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确保资料与审计结论对应</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完整性</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是否盖章、是否签字、是否完整、是否需补证、补证期限</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下拉/日期</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由填报人及复核人确认</w:t>
            </w:r>
          </w:p>
        </w:tc>
      </w:tr>
      <w:tr>
        <w:trPr>
          <w:cantSplit/>
        </w:trPr>
        <w:tc>
          <w:tcPr>
            <w:tcW w:type="dxa" w:w="1584"/>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归档</w:t>
            </w:r>
          </w:p>
        </w:tc>
        <w:tc>
          <w:tcPr>
            <w:tcW w:type="dxa" w:w="871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文件路径/页码、纸质卷号、备注</w:t>
            </w:r>
          </w:p>
        </w:tc>
        <w:tc>
          <w:tcPr>
            <w:tcW w:type="dxa" w:w="187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文本</w:t>
            </w:r>
          </w:p>
        </w:tc>
        <w:tc>
          <w:tcPr>
            <w:tcW w:type="dxa" w:w="2952"/>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便于审计底稿索引</w:t>
            </w:r>
          </w:p>
        </w:tc>
      </w:tr>
    </w:tbl>
    <w:p>
      <w:pPr>
        <w:spacing w:after="0"/>
      </w:pPr>
    </w:p>
    <w:p>
      <w:pPr>
        <w:sectPr>
          <w:headerReference w:type="default" r:id="rId11"/>
          <w:footerReference w:type="default" r:id="rId12"/>
          <w:pgSz w:w="16838" w:h="11906" w:orient="landscape"/>
          <w:pgMar w:top="964" w:right="850" w:bottom="907" w:left="850" w:header="510" w:footer="510" w:gutter="0"/>
          <w:cols w:space="720"/>
          <w:docGrid w:linePitch="360"/>
        </w:sectPr>
      </w:pPr>
    </w:p>
    <w:p>
      <w:pPr>
        <w:pStyle w:val="Heading1"/>
        <w:keepNext/>
      </w:pPr>
      <w:r>
        <w:rPr>
          <w:rFonts w:ascii="Alibaba PuHuiTi B" w:hAnsi="Alibaba PuHuiTi B" w:eastAsia="Alibaba PuHuiTi B"/>
          <w:b w:val="0"/>
          <w:i w:val="0"/>
          <w:color w:val="1F4E79"/>
          <w:sz w:val="32"/>
        </w:rPr>
        <w:t>附件二：填报校验规则及资料清单</w:t>
      </w:r>
    </w:p>
    <w:p>
      <w:pPr>
        <w:keepNext/>
        <w:spacing w:before="160" w:after="80"/>
      </w:pPr>
      <w:r>
        <w:rPr>
          <w:rFonts w:ascii="Alibaba PuHuiTi B" w:hAnsi="Alibaba PuHuiTi B" w:eastAsia="Alibaba PuHuiTi B"/>
          <w:b w:val="0"/>
          <w:i w:val="0"/>
          <w:color w:val="000000"/>
          <w:sz w:val="23"/>
        </w:rPr>
        <w:t>（一）建议下拉选项</w:t>
      </w:r>
    </w:p>
    <w:tbl>
      <w:tblPr>
        <w:tblW w:type="dxa" w:w="15120"/>
        <w:tblLayout w:type="fixed"/>
        <w:tblLook w:firstColumn="1" w:firstRow="1" w:lastColumn="0" w:lastRow="0" w:noHBand="0" w:noVBand="1" w:val="04A0"/>
        <w:jc w:val="lef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Ind w:w="120" w:type="dxa"/>
      </w:tblPr>
      <w:tblGrid>
        <w:gridCol w:w="2592"/>
        <w:gridCol w:w="12528"/>
      </w:tblGrid>
      <w:tr>
        <w:trPr>
          <w:tblHeader w:val="true"/>
          <w:cantSplit/>
        </w:trPr>
        <w:tc>
          <w:tcPr>
            <w:tcW w:type="dxa" w:w="2592"/>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7"/>
              </w:rPr>
              <w:t>字段</w:t>
            </w:r>
          </w:p>
        </w:tc>
        <w:tc>
          <w:tcPr>
            <w:tcW w:type="dxa" w:w="12528"/>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7"/>
              </w:rPr>
              <w:t>标准选项</w:t>
            </w:r>
          </w:p>
        </w:tc>
      </w:tr>
      <w:tr>
        <w:trPr>
          <w:cantSplit/>
        </w:trPr>
        <w:tc>
          <w:tcPr>
            <w:tcW w:type="dxa" w:w="2592"/>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品目类别</w:t>
            </w:r>
          </w:p>
        </w:tc>
        <w:tc>
          <w:tcPr>
            <w:tcW w:type="dxa" w:w="12528"/>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国家课程教材；地方课程教材；配套作业本；地方专题教育材料；评议教辅；学具；其他</w:t>
            </w:r>
          </w:p>
        </w:tc>
      </w:tr>
      <w:tr>
        <w:trPr>
          <w:cantSplit/>
        </w:trPr>
        <w:tc>
          <w:tcPr>
            <w:tcW w:type="dxa" w:w="2592"/>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采购方式</w:t>
            </w:r>
          </w:p>
        </w:tc>
        <w:tc>
          <w:tcPr>
            <w:tcW w:type="dxa" w:w="12528"/>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公开招标；邀请招标；竞争性谈判；竞争性磋商；询价；单一来源；直接采购；其他</w:t>
            </w:r>
          </w:p>
        </w:tc>
      </w:tr>
      <w:tr>
        <w:trPr>
          <w:cantSplit/>
        </w:trPr>
        <w:tc>
          <w:tcPr>
            <w:tcW w:type="dxa" w:w="2592"/>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采购结果</w:t>
            </w:r>
          </w:p>
        </w:tc>
        <w:tc>
          <w:tcPr>
            <w:tcW w:type="dxa" w:w="12528"/>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成功；失败；终止；取消；变更方式；待核实</w:t>
            </w:r>
          </w:p>
        </w:tc>
      </w:tr>
      <w:tr>
        <w:trPr>
          <w:cantSplit/>
        </w:trPr>
        <w:tc>
          <w:tcPr>
            <w:tcW w:type="dxa" w:w="2592"/>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代理机构类型</w:t>
            </w:r>
          </w:p>
        </w:tc>
        <w:tc>
          <w:tcPr>
            <w:tcW w:type="dxa" w:w="12528"/>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政府集中采购机构；社会代理机构；自行组织；其他</w:t>
            </w:r>
          </w:p>
        </w:tc>
      </w:tr>
      <w:tr>
        <w:trPr>
          <w:cantSplit/>
        </w:trPr>
        <w:tc>
          <w:tcPr>
            <w:tcW w:type="dxa" w:w="2592"/>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证据状态</w:t>
            </w:r>
          </w:p>
        </w:tc>
        <w:tc>
          <w:tcPr>
            <w:tcW w:type="dxa" w:w="12528"/>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已提供原件；已提供盖章复印件；已提供电子件；待补；无法提供</w:t>
            </w:r>
          </w:p>
        </w:tc>
      </w:tr>
      <w:tr>
        <w:trPr>
          <w:cantSplit/>
        </w:trPr>
        <w:tc>
          <w:tcPr>
            <w:tcW w:type="dxa" w:w="2592"/>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是/否字段</w:t>
            </w:r>
          </w:p>
        </w:tc>
        <w:tc>
          <w:tcPr>
            <w:tcW w:type="dxa" w:w="12528"/>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是；否；不适用；待核实</w:t>
            </w:r>
          </w:p>
        </w:tc>
      </w:tr>
    </w:tbl>
    <w:p>
      <w:pPr>
        <w:spacing w:after="0"/>
      </w:pPr>
    </w:p>
    <w:p>
      <w:pPr>
        <w:keepNext/>
        <w:spacing w:before="160" w:after="80"/>
      </w:pPr>
      <w:r>
        <w:rPr>
          <w:rFonts w:ascii="Alibaba PuHuiTi B" w:hAnsi="Alibaba PuHuiTi B" w:eastAsia="Alibaba PuHuiTi B"/>
          <w:b w:val="0"/>
          <w:i w:val="0"/>
          <w:color w:val="000000"/>
          <w:sz w:val="23"/>
        </w:rPr>
        <w:t>（二）建议公式</w:t>
      </w:r>
    </w:p>
    <w:tbl>
      <w:tblPr>
        <w:tblW w:type="dxa" w:w="15120"/>
        <w:tblLayout w:type="fixed"/>
        <w:tblLook w:firstColumn="1" w:firstRow="1" w:lastColumn="0" w:lastRow="0" w:noHBand="0" w:noVBand="1" w:val="04A0"/>
        <w:jc w:val="lef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Ind w:w="120" w:type="dxa"/>
      </w:tblPr>
      <w:tblGrid>
        <w:gridCol w:w="2880"/>
        <w:gridCol w:w="7056"/>
        <w:gridCol w:w="5184"/>
      </w:tblGrid>
      <w:tr>
        <w:trPr>
          <w:tblHeader w:val="true"/>
          <w:cantSplit/>
        </w:trPr>
        <w:tc>
          <w:tcPr>
            <w:tcW w:type="dxa" w:w="2880"/>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7"/>
              </w:rPr>
              <w:t>指标</w:t>
            </w:r>
          </w:p>
        </w:tc>
        <w:tc>
          <w:tcPr>
            <w:tcW w:type="dxa" w:w="7056"/>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7"/>
              </w:rPr>
              <w:t>公式/逻辑</w:t>
            </w:r>
          </w:p>
        </w:tc>
        <w:tc>
          <w:tcPr>
            <w:tcW w:type="dxa" w:w="5184"/>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7"/>
              </w:rPr>
              <w:t>注意事项</w:t>
            </w:r>
          </w:p>
        </w:tc>
      </w:tr>
      <w:tr>
        <w:trPr>
          <w:cantSplit/>
        </w:trPr>
        <w:tc>
          <w:tcPr>
            <w:tcW w:type="dxa" w:w="2880"/>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合同签订间隔（天）</w:t>
            </w:r>
          </w:p>
        </w:tc>
        <w:tc>
          <w:tcPr>
            <w:tcW w:type="dxa" w:w="7056"/>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=合同签订日-中标通知书日</w:t>
            </w:r>
          </w:p>
        </w:tc>
        <w:tc>
          <w:tcPr>
            <w:tcW w:type="dxa" w:w="518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用于核验是否超过30日</w:t>
            </w:r>
          </w:p>
        </w:tc>
      </w:tr>
      <w:tr>
        <w:trPr>
          <w:cantSplit/>
        </w:trPr>
        <w:tc>
          <w:tcPr>
            <w:tcW w:type="dxa" w:w="2880"/>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是否超过30日</w:t>
            </w:r>
          </w:p>
        </w:tc>
        <w:tc>
          <w:tcPr>
            <w:tcW w:type="dxa" w:w="7056"/>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=IF(合同签订间隔&gt;30,"是","否")</w:t>
            </w:r>
          </w:p>
        </w:tc>
        <w:tc>
          <w:tcPr>
            <w:tcW w:type="dxa" w:w="518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仅在两个日期均完整时计算</w:t>
            </w:r>
          </w:p>
        </w:tc>
      </w:tr>
      <w:tr>
        <w:trPr>
          <w:cantSplit/>
        </w:trPr>
        <w:tc>
          <w:tcPr>
            <w:tcW w:type="dxa" w:w="2880"/>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是否先履约后签约</w:t>
            </w:r>
          </w:p>
        </w:tc>
        <w:tc>
          <w:tcPr>
            <w:tcW w:type="dxa" w:w="7056"/>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=IF(首次发货日&lt;合同签订日,"是","否")</w:t>
            </w:r>
          </w:p>
        </w:tc>
        <w:tc>
          <w:tcPr>
            <w:tcW w:type="dxa" w:w="518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以最早可核实履约凭证为准</w:t>
            </w:r>
          </w:p>
        </w:tc>
      </w:tr>
      <w:tr>
        <w:trPr>
          <w:cantSplit/>
        </w:trPr>
        <w:tc>
          <w:tcPr>
            <w:tcW w:type="dxa" w:w="2880"/>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是否晚于开学到书</w:t>
            </w:r>
          </w:p>
        </w:tc>
        <w:tc>
          <w:tcPr>
            <w:tcW w:type="dxa" w:w="7056"/>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=IF(首次到校日&gt;开学日,"是","否")</w:t>
            </w:r>
          </w:p>
        </w:tc>
        <w:tc>
          <w:tcPr>
            <w:tcW w:type="dxa" w:w="518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还应核验是否影响实际教学</w:t>
            </w:r>
          </w:p>
        </w:tc>
      </w:tr>
      <w:tr>
        <w:trPr>
          <w:cantSplit/>
        </w:trPr>
        <w:tc>
          <w:tcPr>
            <w:tcW w:type="dxa" w:w="2880"/>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品目金额</w:t>
            </w:r>
          </w:p>
        </w:tc>
        <w:tc>
          <w:tcPr>
            <w:tcW w:type="dxa" w:w="7056"/>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=实际数量×定价×供货折扣</w:t>
            </w:r>
          </w:p>
        </w:tc>
        <w:tc>
          <w:tcPr>
            <w:tcW w:type="dxa" w:w="518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按结算口径计算；无实际数时另列暂估</w:t>
            </w:r>
          </w:p>
        </w:tc>
      </w:tr>
      <w:tr>
        <w:trPr>
          <w:cantSplit/>
        </w:trPr>
        <w:tc>
          <w:tcPr>
            <w:tcW w:type="dxa" w:w="2880"/>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可核实问题金额</w:t>
            </w:r>
          </w:p>
        </w:tc>
        <w:tc>
          <w:tcPr>
            <w:tcW w:type="dxa" w:w="7056"/>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汇总“唯一供应结论=是、原采购方式=公开招标”的品目金额</w:t>
            </w:r>
          </w:p>
        </w:tc>
        <w:tc>
          <w:tcPr>
            <w:tcW w:type="dxa" w:w="518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不得汇总整个混合采购包预算</w:t>
            </w:r>
          </w:p>
        </w:tc>
      </w:tr>
      <w:tr>
        <w:trPr>
          <w:cantSplit/>
        </w:trPr>
        <w:tc>
          <w:tcPr>
            <w:tcW w:type="dxa" w:w="2880"/>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项目毛利</w:t>
            </w:r>
          </w:p>
        </w:tc>
        <w:tc>
          <w:tcPr>
            <w:tcW w:type="dxa" w:w="7056"/>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=合同收入-采购成本-代理及投标成本</w:t>
            </w:r>
          </w:p>
        </w:tc>
        <w:tc>
          <w:tcPr>
            <w:tcW w:type="dxa" w:w="518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保持与企业会计核算口径一致</w:t>
            </w:r>
          </w:p>
        </w:tc>
      </w:tr>
    </w:tbl>
    <w:p>
      <w:pPr>
        <w:spacing w:after="0"/>
      </w:pPr>
    </w:p>
    <w:p>
      <w:pPr>
        <w:keepNext/>
        <w:spacing w:before="160" w:after="80"/>
      </w:pPr>
      <w:r>
        <w:rPr>
          <w:rFonts w:ascii="Alibaba PuHuiTi B" w:hAnsi="Alibaba PuHuiTi B" w:eastAsia="Alibaba PuHuiTi B"/>
          <w:b w:val="0"/>
          <w:i w:val="0"/>
          <w:color w:val="000000"/>
          <w:sz w:val="23"/>
        </w:rPr>
        <w:t>（三）省店及相关基层店需提供的资料</w:t>
      </w:r>
    </w:p>
    <w:tbl>
      <w:tblPr>
        <w:tblW w:type="dxa" w:w="15120"/>
        <w:tblLayout w:type="fixed"/>
        <w:tblLook w:firstColumn="1" w:firstRow="1" w:lastColumn="0" w:lastRow="0" w:noHBand="0" w:noVBand="1" w:val="04A0"/>
        <w:jc w:val="lef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Ind w:w="120" w:type="dxa"/>
      </w:tblPr>
      <w:tblGrid>
        <w:gridCol w:w="936"/>
        <w:gridCol w:w="14184"/>
      </w:tblGrid>
      <w:tr>
        <w:trPr>
          <w:tblHeader w:val="true"/>
          <w:cantSplit/>
        </w:trPr>
        <w:tc>
          <w:tcPr>
            <w:tcW w:type="dxa" w:w="936"/>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7"/>
              </w:rPr>
              <w:t>序号</w:t>
            </w:r>
          </w:p>
        </w:tc>
        <w:tc>
          <w:tcPr>
            <w:tcW w:type="dxa" w:w="14184"/>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7"/>
              </w:rPr>
              <w:t>资料名称及核实要求</w:t>
            </w:r>
          </w:p>
        </w:tc>
      </w:tr>
      <w:tr>
        <w:trPr>
          <w:cantSplit/>
        </w:trPr>
        <w:tc>
          <w:tcPr>
            <w:tcW w:type="dxa" w:w="936"/>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1</w:t>
            </w:r>
          </w:p>
        </w:tc>
        <w:tc>
          <w:tcPr>
            <w:tcW w:type="dxa" w:w="1418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2025学年地方教材等采购业务管理制度、职责分工、采购方式指导文件及省店对基层店的通知、培训、审核记录</w:t>
            </w:r>
          </w:p>
        </w:tc>
      </w:tr>
      <w:tr>
        <w:trPr>
          <w:cantSplit/>
        </w:trPr>
        <w:tc>
          <w:tcPr>
            <w:tcW w:type="dxa" w:w="936"/>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2</w:t>
            </w:r>
          </w:p>
        </w:tc>
        <w:tc>
          <w:tcPr>
            <w:tcW w:type="dxa" w:w="1418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67家基层店全部项目清单；对未通过政府采购程序的29家，说明采购主体、资金来源、业务模式和未纳入原因</w:t>
            </w:r>
          </w:p>
        </w:tc>
      </w:tr>
      <w:tr>
        <w:trPr>
          <w:cantSplit/>
        </w:trPr>
        <w:tc>
          <w:tcPr>
            <w:tcW w:type="dxa" w:w="936"/>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3</w:t>
            </w:r>
          </w:p>
        </w:tc>
        <w:tc>
          <w:tcPr>
            <w:tcW w:type="dxa" w:w="1418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14个公开招标失败后转单一来源项目的公告、招标文件、采购清单、评审报告、失败公告、采购方式变更审批、单一来源论证、公示和合同</w:t>
            </w:r>
          </w:p>
        </w:tc>
      </w:tr>
      <w:tr>
        <w:trPr>
          <w:cantSplit/>
        </w:trPr>
        <w:tc>
          <w:tcPr>
            <w:tcW w:type="dxa" w:w="936"/>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4</w:t>
            </w:r>
          </w:p>
        </w:tc>
        <w:tc>
          <w:tcPr>
            <w:tcW w:type="dxa" w:w="1418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省店及各基层店中小学教科书发行资质证书、批准文件及2025年度核验材料；对应项目所需的出版单位或著作权人授权原件</w:t>
            </w:r>
          </w:p>
        </w:tc>
      </w:tr>
      <w:tr>
        <w:trPr>
          <w:cantSplit/>
        </w:trPr>
        <w:tc>
          <w:tcPr>
            <w:tcW w:type="dxa" w:w="936"/>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5</w:t>
            </w:r>
          </w:p>
        </w:tc>
        <w:tc>
          <w:tcPr>
            <w:tcW w:type="dxa" w:w="1418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8个2025年公开招标项目逐品目采购清单、报价明细、中标通知书、合同、结算单和实际销售发票</w:t>
            </w:r>
          </w:p>
        </w:tc>
      </w:tr>
      <w:tr>
        <w:trPr>
          <w:cantSplit/>
        </w:trPr>
        <w:tc>
          <w:tcPr>
            <w:tcW w:type="dxa" w:w="936"/>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6</w:t>
            </w:r>
          </w:p>
        </w:tc>
        <w:tc>
          <w:tcPr>
            <w:tcW w:type="dxa" w:w="1418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各项目采购需求确定、采购计划审批、代理委托、合同审批、首次订货、发货、到校签收、验收和回款资料</w:t>
            </w:r>
          </w:p>
        </w:tc>
      </w:tr>
      <w:tr>
        <w:trPr>
          <w:cantSplit/>
        </w:trPr>
        <w:tc>
          <w:tcPr>
            <w:tcW w:type="dxa" w:w="936"/>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7</w:t>
            </w:r>
          </w:p>
        </w:tc>
        <w:tc>
          <w:tcPr>
            <w:tcW w:type="dxa" w:w="1418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社会代理项目的代理协议、收费通知、发票、付款凭证、会计分录；公开招标失败后重复发生的标书制作、差旅、样品等可核实支出</w:t>
            </w:r>
          </w:p>
        </w:tc>
      </w:tr>
      <w:tr>
        <w:trPr>
          <w:cantSplit/>
        </w:trPr>
        <w:tc>
          <w:tcPr>
            <w:tcW w:type="dxa" w:w="936"/>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8</w:t>
            </w:r>
          </w:p>
        </w:tc>
        <w:tc>
          <w:tcPr>
            <w:tcW w:type="dxa" w:w="1418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基层店对采购文件品目分类、供应商资格、供货授权和采购时序提出的询问、质疑、书面建议及采购人回复</w:t>
            </w:r>
          </w:p>
        </w:tc>
      </w:tr>
      <w:tr>
        <w:trPr>
          <w:cantSplit/>
        </w:trPr>
        <w:tc>
          <w:tcPr>
            <w:tcW w:type="dxa" w:w="936"/>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9</w:t>
            </w:r>
          </w:p>
        </w:tc>
        <w:tc>
          <w:tcPr>
            <w:tcW w:type="dxa" w:w="1418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各项目收入、采购成本、折扣、代理费、投标费用和项目毛利测算表，以及省店对低效益或亏损项目的审批、复核记录</w:t>
            </w:r>
          </w:p>
        </w:tc>
      </w:tr>
      <w:tr>
        <w:trPr>
          <w:cantSplit/>
        </w:trPr>
        <w:tc>
          <w:tcPr>
            <w:tcW w:type="dxa" w:w="936"/>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7"/>
              </w:rPr>
              <w:t>10</w:t>
            </w:r>
          </w:p>
        </w:tc>
        <w:tc>
          <w:tcPr>
            <w:tcW w:type="dxa" w:w="14184"/>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7"/>
              </w:rPr>
              <w:t>对合同签订晚于开学、先供货后签约、未按期到书等事项的书面说明、责任人员、审批记录和补救措施</w:t>
            </w:r>
          </w:p>
        </w:tc>
      </w:tr>
    </w:tbl>
    <w:p>
      <w:pPr>
        <w:spacing w:after="0"/>
      </w:pPr>
    </w:p>
    <w:p>
      <w:pPr>
        <w:keepNext/>
        <w:spacing w:before="160" w:after="80"/>
      </w:pPr>
      <w:r>
        <w:rPr>
          <w:rFonts w:ascii="Alibaba PuHuiTi B" w:hAnsi="Alibaba PuHuiTi B" w:eastAsia="Alibaba PuHuiTi B"/>
          <w:b w:val="0"/>
          <w:i w:val="0"/>
          <w:color w:val="000000"/>
          <w:sz w:val="23"/>
        </w:rPr>
        <w:t>（四）主要依据和公开信息来源</w:t>
      </w:r>
    </w:p>
    <w:tbl>
      <w:tblPr>
        <w:tblW w:type="dxa" w:w="15120"/>
        <w:tblLayout w:type="fixed"/>
        <w:tblLook w:firstColumn="1" w:firstRow="1" w:lastColumn="0" w:lastRow="0" w:noHBand="0" w:noVBand="1" w:val="04A0"/>
        <w:jc w:val="lef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Ind w:w="120" w:type="dxa"/>
      </w:tblPr>
      <w:tblGrid>
        <w:gridCol w:w="2592"/>
        <w:gridCol w:w="12528"/>
      </w:tblGrid>
      <w:tr>
        <w:trPr>
          <w:tblHeader w:val="true"/>
          <w:cantSplit/>
        </w:trPr>
        <w:tc>
          <w:tcPr>
            <w:tcW w:type="dxa" w:w="2592"/>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类别</w:t>
            </w:r>
          </w:p>
        </w:tc>
        <w:tc>
          <w:tcPr>
            <w:tcW w:type="dxa" w:w="12528"/>
            <w:shd w:fill="E7E6E6"/>
            <w:vAlign w:val="center"/>
            <w:tcMar>
              <w:top w:w="80" w:type="dxa"/>
              <w:start w:w="120" w:type="dxa"/>
              <w:bottom w:w="80" w:type="dxa"/>
              <w:end w:w="120" w:type="dxa"/>
            </w:tcMar>
          </w:tcPr>
          <w:p>
            <w:pPr>
              <w:keepLines/>
              <w:spacing w:before="0" w:after="0" w:lineRule="auto" w:line="252"/>
              <w:jc w:val="center"/>
            </w:pPr>
            <w:r/>
            <w:r>
              <w:rPr>
                <w:rFonts w:ascii="Alibaba PuHuiTi B" w:hAnsi="Alibaba PuHuiTi B" w:eastAsia="Alibaba PuHuiTi B"/>
                <w:b w:val="0"/>
                <w:i w:val="0"/>
                <w:color w:val="000000"/>
                <w:sz w:val="16"/>
              </w:rPr>
              <w:t>来源</w:t>
            </w:r>
          </w:p>
        </w:tc>
      </w:tr>
      <w:tr>
        <w:trPr>
          <w:cantSplit/>
        </w:trPr>
        <w:tc>
          <w:tcPr>
            <w:tcW w:type="dxa" w:w="2592"/>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法律法规</w:t>
            </w:r>
          </w:p>
        </w:tc>
        <w:tc>
          <w:tcPr>
            <w:tcW w:type="dxa" w:w="12528"/>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中华人民共和国政府采购法》；《政府采购需求管理办法》（财库〔2021〕22号）；《政府采购货物和服务招标投标管理办法》（财政部令第87号）；《中小学教材管理办法》（教材〔2019〕3号）；《出版市场管理规定》。</w:t>
            </w:r>
          </w:p>
        </w:tc>
      </w:tr>
      <w:tr>
        <w:trPr>
          <w:cantSplit/>
        </w:trPr>
        <w:tc>
          <w:tcPr>
            <w:tcW w:type="dxa" w:w="2592"/>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政府采购法</w:t>
            </w:r>
          </w:p>
        </w:tc>
        <w:tc>
          <w:tcPr>
            <w:tcW w:type="dxa" w:w="12528"/>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https://www.samr.gov.cn/zw/zfxxgk/fdzdgknr/bgt/art/2023/art_47b5807c40c040368eb5f13b489d6c43.html</w:t>
            </w:r>
          </w:p>
        </w:tc>
      </w:tr>
      <w:tr>
        <w:trPr>
          <w:cantSplit/>
        </w:trPr>
        <w:tc>
          <w:tcPr>
            <w:tcW w:type="dxa" w:w="2592"/>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需求管理办法</w:t>
            </w:r>
          </w:p>
        </w:tc>
        <w:tc>
          <w:tcPr>
            <w:tcW w:type="dxa" w:w="12528"/>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https://www.mof.gov.cn/gkml/caizhengwengao/wg2021/wg202005/202109/P020210917565943122846.pdf</w:t>
            </w:r>
          </w:p>
        </w:tc>
      </w:tr>
      <w:tr>
        <w:trPr>
          <w:cantSplit/>
        </w:trPr>
        <w:tc>
          <w:tcPr>
            <w:tcW w:type="dxa" w:w="2592"/>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教材管理办法</w:t>
            </w:r>
          </w:p>
        </w:tc>
        <w:tc>
          <w:tcPr>
            <w:tcW w:type="dxa" w:w="12528"/>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https://www.moe.gov.cn/srcsite/A26/moe_714/202001/t20200107_414578.html</w:t>
            </w:r>
          </w:p>
        </w:tc>
      </w:tr>
      <w:tr>
        <w:trPr>
          <w:cantSplit/>
        </w:trPr>
        <w:tc>
          <w:tcPr>
            <w:tcW w:type="dxa" w:w="2592"/>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招标投标办法</w:t>
            </w:r>
          </w:p>
        </w:tc>
        <w:tc>
          <w:tcPr>
            <w:tcW w:type="dxa" w:w="12528"/>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https://tfs.mof.gov.cn/caizhengbuling/201707/t20170718_2652603.htm</w:t>
            </w:r>
          </w:p>
        </w:tc>
      </w:tr>
      <w:tr>
        <w:trPr>
          <w:cantSplit/>
        </w:trPr>
        <w:tc>
          <w:tcPr>
            <w:tcW w:type="dxa" w:w="2592"/>
            <w:vAlign w:val="center"/>
            <w:tcMar>
              <w:top w:w="80" w:type="dxa"/>
              <w:start w:w="120" w:type="dxa"/>
              <w:bottom w:w="80" w:type="dxa"/>
              <w:end w:w="120" w:type="dxa"/>
            </w:tcMar>
          </w:tcPr>
          <w:p>
            <w:pPr>
              <w:keepLines/>
              <w:spacing w:before="0" w:after="0" w:lineRule="auto" w:line="252"/>
              <w:jc w:val="center"/>
            </w:pPr>
            <w:r/>
            <w:r>
              <w:rPr>
                <w:rFonts w:ascii="STSong" w:hAnsi="STSong" w:eastAsia="STSong"/>
                <w:b w:val="0"/>
                <w:i w:val="0"/>
                <w:color w:val="000000"/>
                <w:sz w:val="16"/>
              </w:rPr>
              <w:t>本次核对材料</w:t>
            </w:r>
          </w:p>
        </w:tc>
        <w:tc>
          <w:tcPr>
            <w:tcW w:type="dxa" w:w="12528"/>
            <w:vAlign w:val="center"/>
            <w:tcMar>
              <w:top w:w="80" w:type="dxa"/>
              <w:start w:w="120" w:type="dxa"/>
              <w:bottom w:w="80" w:type="dxa"/>
              <w:end w:w="120" w:type="dxa"/>
            </w:tcMar>
          </w:tcPr>
          <w:p>
            <w:pPr>
              <w:keepLines/>
              <w:spacing w:before="0" w:after="0" w:lineRule="auto" w:line="252"/>
              <w:jc w:val="left"/>
            </w:pPr>
            <w:r/>
            <w:r>
              <w:rPr>
                <w:rFonts w:ascii="STSong" w:hAnsi="STSong" w:eastAsia="STSong"/>
                <w:b w:val="0"/>
                <w:i w:val="0"/>
                <w:color w:val="000000"/>
                <w:sz w:val="16"/>
              </w:rPr>
              <w:t>《教材教辅招标信息.xlsx》《地方教材招投标统计.xlsx》《浙江省义务教育教材教辅招标采购信息汇总.pdf》《地方教材与学具发行资质.docx》及金华、余杭、婺城、莲都、景宁、椒江等项目公告、招标文件和报价资料。</w:t>
            </w:r>
          </w:p>
        </w:tc>
      </w:tr>
    </w:tbl>
    <w:p>
      <w:pPr>
        <w:spacing w:after="0"/>
      </w:pPr>
    </w:p>
    <w:tbl>
      <w:tblPr>
        <w:tblW w:type="dxa" w:w="9360"/>
        <w:jc w:val="left"/>
        <w:tblLayout w:type="fixed"/>
        <w:tblLook w:firstColumn="1" w:firstRow="1" w:lastColumn="0" w:lastRow="0" w:noHBand="0" w:noVBand="1" w:val="04A0"/>
        <w:tblInd w:w="12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Grid>
        <w:gridCol w:w="9360"/>
      </w:tblGrid>
      <w:tr>
        <w:trPr>
          <w:cantSplit/>
        </w:trPr>
        <w:tc>
          <w:tcPr>
            <w:tcW w:type="dxa" w:w="9360"/>
            <w:shd w:fill="F2F2F2"/>
            <w:tcMar>
              <w:top w:w="120" w:type="dxa"/>
              <w:start w:w="120" w:type="dxa"/>
              <w:bottom w:w="120" w:type="dxa"/>
              <w:end w:w="120" w:type="dxa"/>
            </w:tcMar>
          </w:tcPr>
          <w:p>
            <w:pPr>
              <w:spacing w:before="0" w:after="0" w:lineRule="auto" w:line="264"/>
            </w:pPr>
            <w:r>
              <w:rPr>
                <w:rFonts w:ascii="Alibaba PuHuiTi B" w:hAnsi="Alibaba PuHuiTi B" w:eastAsia="Alibaba PuHuiTi B"/>
                <w:b w:val="0"/>
                <w:i w:val="0"/>
                <w:color w:val="1F4E79"/>
                <w:sz w:val="21"/>
              </w:rPr>
              <w:t>自审复核：</w:t>
            </w:r>
            <w:r>
              <w:rPr>
                <w:rFonts w:ascii="STSong" w:hAnsi="STSong" w:eastAsia="STSong"/>
                <w:b w:val="0"/>
                <w:i w:val="0"/>
                <w:color w:val="000000"/>
                <w:sz w:val="21"/>
              </w:rPr>
              <w:t>本稿已区分整包预算与问题金额；未将公开招标直接认定为违规；未将教辅、学具当然视为唯一供应品目；代理服务费仅列测算数并要求以实际凭证核定；合同逾期、先履约后签约等结论均设置了证据前提。</w:t>
            </w:r>
          </w:p>
        </w:tc>
      </w:tr>
    </w:tbl>
    <w:p>
      <w:pPr>
        <w:spacing w:after="0"/>
      </w:pPr>
    </w:p>
    <w:sectPr w:rsidR="00FC693F" w:rsidRPr="0006063C" w:rsidSect="00034616">
      <w:headerReference w:type="default" r:id="rId13"/>
      <w:footerReference w:type="default" r:id="rId14"/>
      <w:pgSz w:w="16838" w:h="11906" w:orient="landscape"/>
      <w:pgMar w:top="964" w:right="850" w:bottom="907" w:left="850"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STSong" w:hAnsi="STSong" w:eastAsia="STSong"/>
        <w:b w:val="0"/>
        <w:i w:val="0"/>
        <w:color w:val="666666"/>
        <w:sz w:val="18"/>
      </w:rPr>
      <w:t xml:space="preserve">第 </w:t>
    </w:r>
    <w:fldSimple w:instr="PAGE"/>
    <w:r>
      <w:rPr>
        <w:rFonts w:ascii="STSong" w:hAnsi="STSong" w:eastAsia="STSong"/>
        <w:b w:val="0"/>
        <w:i w:val="0"/>
        <w:color w:val="666666"/>
        <w:sz w:val="18"/>
      </w:rPr>
      <w:t xml:space="preserve"> 页</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STSong" w:hAnsi="STSong" w:eastAsia="STSong"/>
        <w:b w:val="0"/>
        <w:i w:val="0"/>
        <w:color w:val="666666"/>
        <w:sz w:val="18"/>
      </w:rPr>
      <w:t xml:space="preserve">第 </w:t>
    </w:r>
    <w:fldSimple w:instr="PAGE"/>
    <w:r>
      <w:rPr>
        <w:rFonts w:ascii="STSong" w:hAnsi="STSong" w:eastAsia="STSong"/>
        <w:b w:val="0"/>
        <w:i w:val="0"/>
        <w:color w:val="666666"/>
        <w:sz w:val="18"/>
      </w:rPr>
      <w:t xml:space="preserve"> 页</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STSong" w:hAnsi="STSong" w:eastAsia="STSong"/>
        <w:b w:val="0"/>
        <w:i w:val="0"/>
        <w:color w:val="666666"/>
        <w:sz w:val="18"/>
      </w:rPr>
      <w:t xml:space="preserve">第 </w:t>
    </w:r>
    <w:fldSimple w:instr="PAGE"/>
    <w:r>
      <w:rPr>
        <w:rFonts w:ascii="STSong" w:hAnsi="STSong" w:eastAsia="STSong"/>
        <w:b w:val="0"/>
        <w:i w:val="0"/>
        <w:color w:val="666666"/>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54" w:val="right"/>
      </w:tabs>
      <w:spacing w:after="0"/>
    </w:pPr>
    <w:r/>
    <w:r>
      <w:rPr>
        <w:rFonts w:ascii="Alibaba PuHuiTi M" w:hAnsi="Alibaba PuHuiTi M" w:eastAsia="Alibaba PuHuiTi M"/>
        <w:b w:val="0"/>
        <w:i w:val="0"/>
        <w:color w:val="666666"/>
        <w:sz w:val="17"/>
      </w:rPr>
      <w:t>审计取证工作稿</w:t>
    </w:r>
    <w:r>
      <w:rPr>
        <w:rFonts w:ascii="Alibaba PuHuiTi M" w:hAnsi="Alibaba PuHuiTi M" w:eastAsia="Alibaba PuHuiTi M"/>
        <w:b w:val="0"/>
        <w:i w:val="0"/>
        <w:color w:val="666666"/>
        <w:sz w:val="17"/>
      </w:rPr>
      <w:tab/>
      <w:t>内部工作资料</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5138" w:val="right"/>
      </w:tabs>
      <w:spacing w:after="0"/>
    </w:pPr>
    <w:r/>
    <w:r>
      <w:rPr>
        <w:rFonts w:ascii="Alibaba PuHuiTi M" w:hAnsi="Alibaba PuHuiTi M" w:eastAsia="Alibaba PuHuiTi M"/>
        <w:b w:val="0"/>
        <w:i w:val="0"/>
        <w:color w:val="666666"/>
        <w:sz w:val="17"/>
      </w:rPr>
      <w:t>审计取证工作稿</w:t>
    </w:r>
    <w:r>
      <w:rPr>
        <w:rFonts w:ascii="Alibaba PuHuiTi M" w:hAnsi="Alibaba PuHuiTi M" w:eastAsia="Alibaba PuHuiTi M"/>
        <w:b w:val="0"/>
        <w:i w:val="0"/>
        <w:color w:val="666666"/>
        <w:sz w:val="17"/>
      </w:rPr>
      <w:tab/>
      <w:t>内部工作资料</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5138" w:val="right"/>
      </w:tabs>
      <w:spacing w:after="0"/>
    </w:pPr>
    <w:r/>
    <w:r>
      <w:rPr>
        <w:rFonts w:ascii="Alibaba PuHuiTi M" w:hAnsi="Alibaba PuHuiTi M" w:eastAsia="Alibaba PuHuiTi M"/>
        <w:b w:val="0"/>
        <w:i w:val="0"/>
        <w:color w:val="666666"/>
        <w:sz w:val="17"/>
      </w:rPr>
      <w:t>审计取证工作稿</w:t>
    </w:r>
    <w:r>
      <w:rPr>
        <w:rFonts w:ascii="Alibaba PuHuiTi M" w:hAnsi="Alibaba PuHuiTi M" w:eastAsia="Alibaba PuHuiTi M"/>
        <w:b w:val="0"/>
        <w:i w:val="0"/>
        <w:color w:val="666666"/>
        <w:sz w:val="17"/>
      </w:rPr>
      <w:tab/>
      <w:t>内部工作资料</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Rule="auto" w:line="264"/>
    </w:pPr>
    <w:rPr>
      <w:rFonts w:ascii="Arial" w:hAnsi="Arial" w:eastAsia="STSong"/>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al" w:hAnsi="Arial" w:eastAsia="Alibaba PuHuiTi M"/>
      <w:b w:val="0"/>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eastAsia="Alibaba PuHuiTi M"/>
      <w:b w:val="0"/>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eastAsia="Alibaba PuHuiTi M"/>
      <w:b w:val="0"/>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2025学年地方教材公开招标问题取证单初稿及省店填报表设计</dc:title>
  <dc:subject>经济责任审计工作资料</dc:subject>
  <dc:creator>审计组</dc:creator>
  <cp:keywords>教材；公开招标；单一来源；代理服务费；合同履约</cp:keywords>
  <dc:description>generated by python-docx</dc:description>
  <cp:lastModifiedBy/>
  <cp:revision>1</cp:revision>
  <dcterms:created xsi:type="dcterms:W3CDTF">2013-12-23T23:15:00Z</dcterms:created>
  <dcterms:modified xsi:type="dcterms:W3CDTF">2013-12-23T23:15:00Z</dcterms:modified>
  <cp:category/>
</cp:coreProperties>
</file>