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DDFA8" w14:textId="77777777" w:rsidR="00A016F0" w:rsidRPr="0089206E" w:rsidRDefault="00A016F0" w:rsidP="6AB3A7B0">
      <w:pPr>
        <w:pStyle w:val="Heading1"/>
        <w:rPr>
          <w:rFonts w:ascii="Arial" w:hAnsi="Arial"/>
          <w:sz w:val="24"/>
          <w:szCs w:val="24"/>
        </w:rPr>
      </w:pPr>
      <w:bookmarkStart w:id="0" w:name="_GoBack"/>
      <w:bookmarkEnd w:id="0"/>
      <w:r w:rsidRPr="0089206E">
        <w:rPr>
          <w:rFonts w:ascii="Arial" w:hAnsi="Arial"/>
          <w:sz w:val="24"/>
          <w:szCs w:val="24"/>
        </w:rPr>
        <w:t>3.9 Asessment to determine whether data privacy and security meet minimum standards as determined by the Data Privacy Task Force  is conducted and submitted to PCORI (RC 11)</w:t>
      </w:r>
    </w:p>
    <w:p w14:paraId="196CD97E" w14:textId="77777777" w:rsidR="00A016F0" w:rsidRPr="0089206E" w:rsidRDefault="00A016F0" w:rsidP="00A016F0">
      <w:pPr>
        <w:rPr>
          <w:rFonts w:ascii="Arial" w:hAnsi="Arial"/>
          <w:sz w:val="24"/>
          <w:szCs w:val="24"/>
        </w:rPr>
      </w:pPr>
    </w:p>
    <w:p w14:paraId="4ADD2519" w14:textId="7AFBA98F" w:rsidR="0089206E" w:rsidRPr="0089206E" w:rsidRDefault="6AB3A7B0">
      <w:pPr>
        <w:rPr>
          <w:rFonts w:ascii="Arial" w:eastAsia="Calibri" w:hAnsi="Arial" w:cs="Calibri"/>
          <w:b/>
          <w:bCs/>
          <w:color w:val="00B0F0"/>
          <w:sz w:val="24"/>
          <w:szCs w:val="24"/>
        </w:rPr>
      </w:pPr>
      <w:r w:rsidRPr="0089206E">
        <w:rPr>
          <w:rFonts w:ascii="Arial" w:eastAsia="Calibri" w:hAnsi="Arial" w:cs="Calibri"/>
          <w:b/>
          <w:bCs/>
          <w:color w:val="00B0F0"/>
          <w:sz w:val="24"/>
          <w:szCs w:val="24"/>
        </w:rPr>
        <w:t>Technical Approaches for Protecting Privacy in the PCORnet Distributed Research Network V1.0</w:t>
      </w:r>
    </w:p>
    <w:p w14:paraId="5A85676A" w14:textId="77777777" w:rsidR="0089206E" w:rsidRPr="0089206E" w:rsidRDefault="0089206E" w:rsidP="00A016F0">
      <w:pPr>
        <w:rPr>
          <w:rFonts w:ascii="Arial" w:hAnsi="Arial"/>
          <w:sz w:val="24"/>
          <w:szCs w:val="24"/>
        </w:rPr>
      </w:pPr>
    </w:p>
    <w:p w14:paraId="37942660" w14:textId="7A002B50" w:rsidR="00A016F0" w:rsidRPr="0089206E" w:rsidRDefault="6AB3A7B0" w:rsidP="00A016F0">
      <w:pPr>
        <w:rPr>
          <w:rFonts w:ascii="Arial" w:hAnsi="Arial"/>
          <w:sz w:val="24"/>
          <w:szCs w:val="24"/>
        </w:rPr>
      </w:pPr>
      <w:r w:rsidRPr="0089206E">
        <w:rPr>
          <w:rFonts w:ascii="Arial" w:hAnsi="Arial"/>
          <w:sz w:val="24"/>
          <w:szCs w:val="24"/>
        </w:rPr>
        <w:t>The Data Privacy and security task force lays out the following 4 main points:</w:t>
      </w:r>
    </w:p>
    <w:p w14:paraId="436EFB93" w14:textId="77777777" w:rsidR="00A016F0" w:rsidRPr="0089206E" w:rsidRDefault="6AB3A7B0" w:rsidP="00A016F0">
      <w:pPr>
        <w:pStyle w:val="Caption"/>
        <w:numPr>
          <w:ilvl w:val="0"/>
          <w:numId w:val="3"/>
        </w:numPr>
        <w:rPr>
          <w:rFonts w:ascii="Arial" w:hAnsi="Arial"/>
          <w:sz w:val="24"/>
          <w:szCs w:val="24"/>
        </w:rPr>
      </w:pPr>
      <w:r w:rsidRPr="0089206E">
        <w:rPr>
          <w:rFonts w:ascii="Arial" w:hAnsi="Arial"/>
          <w:b/>
          <w:i/>
          <w:iCs/>
          <w:sz w:val="24"/>
          <w:szCs w:val="24"/>
        </w:rPr>
        <w:t>(Threshold)</w:t>
      </w:r>
      <w:r w:rsidRPr="0089206E">
        <w:rPr>
          <w:rFonts w:ascii="Arial" w:hAnsi="Arial"/>
          <w:i/>
          <w:iCs/>
          <w:sz w:val="24"/>
          <w:szCs w:val="24"/>
        </w:rPr>
        <w:t xml:space="preserve"> Minimum count thresholds for Aggregate Data;</w:t>
      </w:r>
    </w:p>
    <w:p w14:paraId="7D9B207C" w14:textId="77777777" w:rsidR="00A016F0" w:rsidRPr="0089206E" w:rsidRDefault="00A016F0" w:rsidP="00A016F0">
      <w:pPr>
        <w:pStyle w:val="Caption"/>
        <w:numPr>
          <w:ilvl w:val="0"/>
          <w:numId w:val="3"/>
        </w:numPr>
        <w:rPr>
          <w:rFonts w:ascii="Arial" w:hAnsi="Arial"/>
          <w:sz w:val="24"/>
          <w:szCs w:val="24"/>
        </w:rPr>
      </w:pPr>
      <w:r w:rsidRPr="0089206E">
        <w:rPr>
          <w:rFonts w:ascii="Arial" w:hAnsi="Arial"/>
          <w:b/>
          <w:i/>
          <w:iCs/>
          <w:sz w:val="24"/>
          <w:szCs w:val="24"/>
        </w:rPr>
        <w:t>(Perturb)</w:t>
      </w:r>
      <w:r w:rsidRPr="0089206E">
        <w:rPr>
          <w:rFonts w:ascii="Arial" w:hAnsi="Arial"/>
          <w:i/>
          <w:iCs/>
          <w:sz w:val="24"/>
          <w:szCs w:val="24"/>
        </w:rPr>
        <w:t xml:space="preserve"> Perturbation of PCORnet Data;</w:t>
      </w:r>
    </w:p>
    <w:p w14:paraId="7C0DEA15" w14:textId="77777777" w:rsidR="00A016F0" w:rsidRPr="0089206E" w:rsidRDefault="6AB3A7B0" w:rsidP="00A016F0">
      <w:pPr>
        <w:pStyle w:val="Caption"/>
        <w:numPr>
          <w:ilvl w:val="0"/>
          <w:numId w:val="3"/>
        </w:numPr>
        <w:rPr>
          <w:rFonts w:ascii="Arial" w:hAnsi="Arial"/>
          <w:sz w:val="24"/>
          <w:szCs w:val="24"/>
        </w:rPr>
      </w:pPr>
      <w:r w:rsidRPr="0089206E">
        <w:rPr>
          <w:rFonts w:ascii="Arial" w:hAnsi="Arial"/>
          <w:b/>
          <w:i/>
          <w:iCs/>
          <w:sz w:val="24"/>
          <w:szCs w:val="24"/>
        </w:rPr>
        <w:t>(Obfuscate)</w:t>
      </w:r>
      <w:r w:rsidRPr="0089206E">
        <w:rPr>
          <w:rFonts w:ascii="Arial" w:hAnsi="Arial"/>
          <w:i/>
          <w:iCs/>
          <w:sz w:val="24"/>
          <w:szCs w:val="24"/>
        </w:rPr>
        <w:t xml:space="preserve"> Obfuscation of identifiers for record linkage; and</w:t>
      </w:r>
    </w:p>
    <w:p w14:paraId="75859BF7" w14:textId="77777777" w:rsidR="00A016F0" w:rsidRPr="0089206E" w:rsidRDefault="6AB3A7B0" w:rsidP="00A016F0">
      <w:pPr>
        <w:pStyle w:val="Caption"/>
        <w:numPr>
          <w:ilvl w:val="0"/>
          <w:numId w:val="3"/>
        </w:numPr>
        <w:rPr>
          <w:rFonts w:ascii="Arial" w:hAnsi="Arial"/>
          <w:sz w:val="24"/>
          <w:szCs w:val="24"/>
        </w:rPr>
      </w:pPr>
      <w:r w:rsidRPr="0089206E">
        <w:rPr>
          <w:rFonts w:ascii="Arial" w:hAnsi="Arial"/>
          <w:b/>
          <w:i/>
          <w:iCs/>
          <w:sz w:val="24"/>
          <w:szCs w:val="24"/>
        </w:rPr>
        <w:t>(De-identify)</w:t>
      </w:r>
      <w:r w:rsidRPr="0089206E">
        <w:rPr>
          <w:rFonts w:ascii="Arial" w:hAnsi="Arial"/>
          <w:i/>
          <w:iCs/>
          <w:sz w:val="24"/>
          <w:szCs w:val="24"/>
        </w:rPr>
        <w:t xml:space="preserve"> De-identification of record-level research participant information.</w:t>
      </w:r>
    </w:p>
    <w:p w14:paraId="41BBBE6E" w14:textId="77777777" w:rsidR="0089206E" w:rsidRPr="0089206E" w:rsidRDefault="0089206E" w:rsidP="00A016F0">
      <w:pPr>
        <w:rPr>
          <w:rFonts w:ascii="Arial" w:eastAsia="Times New Roman" w:hAnsi="Arial"/>
          <w:sz w:val="24"/>
          <w:szCs w:val="24"/>
        </w:rPr>
      </w:pPr>
    </w:p>
    <w:p w14:paraId="2F147608" w14:textId="5512E9A5" w:rsidR="00A016F0" w:rsidRPr="0089206E" w:rsidRDefault="6AB3A7B0" w:rsidP="00A016F0">
      <w:pPr>
        <w:rPr>
          <w:rFonts w:ascii="Arial" w:hAnsi="Arial"/>
          <w:sz w:val="24"/>
          <w:szCs w:val="24"/>
        </w:rPr>
      </w:pPr>
      <w:r w:rsidRPr="0089206E">
        <w:rPr>
          <w:rFonts w:ascii="Arial" w:eastAsia="Times New Roman" w:hAnsi="Arial"/>
          <w:sz w:val="24"/>
          <w:szCs w:val="24"/>
        </w:rPr>
        <w:t>These are said to augment the existing PCORI Policies:</w:t>
      </w:r>
    </w:p>
    <w:p w14:paraId="45AFC242" w14:textId="3980D7D2" w:rsidR="00A016F0" w:rsidRPr="0089206E" w:rsidRDefault="6AB3A7B0" w:rsidP="6AB3A7B0">
      <w:pPr>
        <w:ind w:left="720"/>
        <w:rPr>
          <w:rFonts w:ascii="Arial" w:hAnsi="Arial"/>
          <w:sz w:val="24"/>
          <w:szCs w:val="24"/>
        </w:rPr>
      </w:pPr>
      <w:r w:rsidRPr="0089206E">
        <w:rPr>
          <w:rFonts w:ascii="Arial" w:eastAsia="Times New Roman" w:hAnsi="Arial"/>
          <w:i/>
          <w:iCs/>
          <w:sz w:val="24"/>
          <w:szCs w:val="24"/>
        </w:rPr>
        <w:t xml:space="preserve">This guidance is intended to augment the PCORnet policies to provide examples of methods to reduce the risk of re-identification with respect to the generation, collection, maintenance, or return of Network Data. Terms used in this guidance are defined in the PCORnet policies. </w:t>
      </w:r>
    </w:p>
    <w:p w14:paraId="02B3C625" w14:textId="244F0A89" w:rsidR="00A016F0" w:rsidRPr="0089206E" w:rsidRDefault="00A016F0" w:rsidP="6AB3A7B0">
      <w:pPr>
        <w:rPr>
          <w:rFonts w:ascii="Arial" w:hAnsi="Arial"/>
          <w:sz w:val="24"/>
          <w:szCs w:val="24"/>
        </w:rPr>
      </w:pPr>
    </w:p>
    <w:p w14:paraId="6A5241B1" w14:textId="644D6FBA" w:rsidR="00A016F0" w:rsidRPr="0089206E" w:rsidRDefault="6AB3A7B0" w:rsidP="00A016F0">
      <w:pPr>
        <w:rPr>
          <w:rFonts w:ascii="Arial" w:eastAsia="Times New Roman" w:hAnsi="Arial"/>
          <w:bCs/>
          <w:sz w:val="24"/>
          <w:szCs w:val="24"/>
        </w:rPr>
      </w:pPr>
      <w:r w:rsidRPr="0089206E">
        <w:rPr>
          <w:rFonts w:ascii="Arial" w:eastAsia="Times New Roman" w:hAnsi="Arial"/>
          <w:sz w:val="24"/>
          <w:szCs w:val="24"/>
        </w:rPr>
        <w:t>Tackling these one at a time</w:t>
      </w:r>
    </w:p>
    <w:p w14:paraId="796379B8" w14:textId="77777777" w:rsidR="00A016F0" w:rsidRPr="0089206E" w:rsidRDefault="00A016F0" w:rsidP="00A016F0">
      <w:pPr>
        <w:rPr>
          <w:rFonts w:ascii="Arial" w:eastAsia="Times New Roman" w:hAnsi="Arial"/>
          <w:bCs/>
          <w:sz w:val="24"/>
          <w:szCs w:val="24"/>
        </w:rPr>
      </w:pPr>
      <w:r w:rsidRPr="0089206E">
        <w:rPr>
          <w:rFonts w:ascii="Arial" w:eastAsia="Times New Roman" w:hAnsi="Arial"/>
          <w:bCs/>
          <w:sz w:val="24"/>
          <w:szCs w:val="24"/>
        </w:rPr>
        <w:t>Threshold:</w:t>
      </w:r>
    </w:p>
    <w:p w14:paraId="5647C9C5" w14:textId="0DD19201" w:rsidR="00A016F0" w:rsidRPr="0089206E" w:rsidRDefault="00A016F0" w:rsidP="00A016F0">
      <w:pPr>
        <w:pStyle w:val="ListParagraph"/>
        <w:numPr>
          <w:ilvl w:val="0"/>
          <w:numId w:val="3"/>
        </w:numPr>
        <w:rPr>
          <w:rFonts w:ascii="Arial" w:hAnsi="Arial"/>
          <w:sz w:val="24"/>
          <w:szCs w:val="24"/>
        </w:rPr>
      </w:pPr>
      <w:r w:rsidRPr="0089206E">
        <w:rPr>
          <w:rFonts w:ascii="Arial" w:hAnsi="Arial"/>
          <w:sz w:val="24"/>
          <w:szCs w:val="24"/>
        </w:rPr>
        <w:t>The use and reliance on i2b2</w:t>
      </w:r>
      <w:r w:rsidR="0089206E" w:rsidRPr="0089206E">
        <w:rPr>
          <w:rFonts w:ascii="Arial" w:hAnsi="Arial"/>
          <w:sz w:val="24"/>
          <w:szCs w:val="24"/>
        </w:rPr>
        <w:t xml:space="preserve"> (used by all GPC sites)</w:t>
      </w:r>
      <w:r w:rsidRPr="0089206E">
        <w:rPr>
          <w:rFonts w:ascii="Arial" w:hAnsi="Arial"/>
          <w:sz w:val="24"/>
          <w:szCs w:val="24"/>
        </w:rPr>
        <w:t xml:space="preserve"> meets or exceeds the minimum count thresholds laid out by the Data Privacy Task Force</w:t>
      </w:r>
    </w:p>
    <w:p w14:paraId="3BDADFDF" w14:textId="302C87BD" w:rsidR="0089206E" w:rsidRPr="0089206E" w:rsidRDefault="0089206E" w:rsidP="00A016F0">
      <w:pPr>
        <w:pStyle w:val="ListParagraph"/>
        <w:numPr>
          <w:ilvl w:val="0"/>
          <w:numId w:val="3"/>
        </w:numPr>
        <w:rPr>
          <w:rFonts w:ascii="Arial" w:hAnsi="Arial"/>
          <w:sz w:val="24"/>
          <w:szCs w:val="24"/>
        </w:rPr>
      </w:pPr>
      <w:r w:rsidRPr="0089206E">
        <w:rPr>
          <w:rFonts w:ascii="Arial" w:hAnsi="Arial"/>
          <w:sz w:val="24"/>
          <w:szCs w:val="24"/>
        </w:rPr>
        <w:t>When i2b2 is not used, the local Honest Brokers apply the threshold guidelines manually</w:t>
      </w:r>
    </w:p>
    <w:p w14:paraId="3FB9D436" w14:textId="77777777" w:rsidR="00A016F0" w:rsidRPr="0089206E" w:rsidRDefault="00A016F0" w:rsidP="00A016F0">
      <w:pPr>
        <w:rPr>
          <w:rFonts w:ascii="Arial" w:hAnsi="Arial"/>
          <w:sz w:val="24"/>
          <w:szCs w:val="24"/>
        </w:rPr>
      </w:pPr>
      <w:r w:rsidRPr="0089206E">
        <w:rPr>
          <w:rFonts w:ascii="Arial" w:hAnsi="Arial"/>
          <w:sz w:val="24"/>
          <w:szCs w:val="24"/>
        </w:rPr>
        <w:t>Perturbation</w:t>
      </w:r>
    </w:p>
    <w:p w14:paraId="78DA082F" w14:textId="77777777" w:rsidR="00A016F0" w:rsidRPr="0089206E" w:rsidRDefault="00A016F0" w:rsidP="00A016F0">
      <w:pPr>
        <w:pStyle w:val="ListParagraph"/>
        <w:numPr>
          <w:ilvl w:val="0"/>
          <w:numId w:val="3"/>
        </w:numPr>
        <w:rPr>
          <w:rFonts w:ascii="Arial" w:hAnsi="Arial"/>
          <w:sz w:val="24"/>
          <w:szCs w:val="24"/>
        </w:rPr>
      </w:pPr>
      <w:r w:rsidRPr="0089206E">
        <w:rPr>
          <w:rFonts w:ascii="Arial" w:hAnsi="Arial"/>
          <w:sz w:val="24"/>
          <w:szCs w:val="24"/>
        </w:rPr>
        <w:t>Again, the use and reliance on i2b2 meets or exceeds the minimum count thresholds laid out by the Data Privacy Task Force</w:t>
      </w:r>
    </w:p>
    <w:p w14:paraId="75E57320" w14:textId="04DCC364" w:rsidR="0089206E" w:rsidRPr="0089206E" w:rsidRDefault="0089206E" w:rsidP="00A016F0">
      <w:pPr>
        <w:pStyle w:val="ListParagraph"/>
        <w:numPr>
          <w:ilvl w:val="0"/>
          <w:numId w:val="3"/>
        </w:numPr>
        <w:rPr>
          <w:rFonts w:ascii="Arial" w:hAnsi="Arial"/>
          <w:sz w:val="24"/>
          <w:szCs w:val="24"/>
        </w:rPr>
      </w:pPr>
      <w:r w:rsidRPr="0089206E">
        <w:rPr>
          <w:rFonts w:ascii="Arial" w:hAnsi="Arial"/>
          <w:sz w:val="24"/>
          <w:szCs w:val="24"/>
        </w:rPr>
        <w:t>When i2b2 is not used, the local Honest Brokers apply the perturbation guidelines manually</w:t>
      </w:r>
    </w:p>
    <w:p w14:paraId="29B408B9" w14:textId="77777777" w:rsidR="00A016F0" w:rsidRPr="0089206E" w:rsidRDefault="00A016F0" w:rsidP="00A016F0">
      <w:pPr>
        <w:rPr>
          <w:rFonts w:ascii="Arial" w:hAnsi="Arial"/>
          <w:sz w:val="24"/>
          <w:szCs w:val="24"/>
        </w:rPr>
      </w:pPr>
      <w:r w:rsidRPr="0089206E">
        <w:rPr>
          <w:rFonts w:ascii="Arial" w:hAnsi="Arial"/>
          <w:sz w:val="24"/>
          <w:szCs w:val="24"/>
        </w:rPr>
        <w:t>Obfuscation</w:t>
      </w:r>
    </w:p>
    <w:p w14:paraId="65CDE2E5" w14:textId="77777777" w:rsidR="00A016F0" w:rsidRPr="0089206E" w:rsidRDefault="00A016F0" w:rsidP="00A016F0">
      <w:pPr>
        <w:pStyle w:val="ListParagraph"/>
        <w:numPr>
          <w:ilvl w:val="0"/>
          <w:numId w:val="3"/>
        </w:numPr>
        <w:rPr>
          <w:rFonts w:ascii="Arial" w:hAnsi="Arial"/>
          <w:sz w:val="24"/>
          <w:szCs w:val="24"/>
        </w:rPr>
      </w:pPr>
      <w:r w:rsidRPr="0089206E">
        <w:rPr>
          <w:rFonts w:ascii="Arial" w:hAnsi="Arial"/>
          <w:sz w:val="24"/>
          <w:szCs w:val="24"/>
        </w:rPr>
        <w:t xml:space="preserve">Obfuscation of identifiers is achieved using Hash values for comparison between sites. </w:t>
      </w:r>
    </w:p>
    <w:p w14:paraId="0739FE07" w14:textId="77777777" w:rsidR="00A016F0" w:rsidRPr="0089206E" w:rsidRDefault="00A016F0" w:rsidP="00A016F0">
      <w:pPr>
        <w:pStyle w:val="ListParagraph"/>
        <w:numPr>
          <w:ilvl w:val="0"/>
          <w:numId w:val="3"/>
        </w:numPr>
        <w:rPr>
          <w:rFonts w:ascii="Arial" w:hAnsi="Arial"/>
          <w:sz w:val="24"/>
          <w:szCs w:val="24"/>
        </w:rPr>
      </w:pPr>
      <w:r w:rsidRPr="0089206E">
        <w:rPr>
          <w:rFonts w:ascii="Arial" w:hAnsi="Arial"/>
          <w:sz w:val="24"/>
          <w:szCs w:val="24"/>
        </w:rPr>
        <w:t>Salt values are set as a one-time use only between GPC partners</w:t>
      </w:r>
    </w:p>
    <w:p w14:paraId="7B91A7BF" w14:textId="244091F8" w:rsidR="00A016F0" w:rsidRPr="0089206E" w:rsidRDefault="00A016F0" w:rsidP="00A016F0">
      <w:pPr>
        <w:rPr>
          <w:rFonts w:ascii="Arial" w:hAnsi="Arial"/>
          <w:sz w:val="24"/>
          <w:szCs w:val="24"/>
        </w:rPr>
      </w:pPr>
      <w:r w:rsidRPr="0089206E">
        <w:rPr>
          <w:rFonts w:ascii="Arial" w:hAnsi="Arial"/>
          <w:sz w:val="24"/>
          <w:szCs w:val="24"/>
        </w:rPr>
        <w:t>De</w:t>
      </w:r>
      <w:r w:rsidR="0089206E" w:rsidRPr="0089206E">
        <w:rPr>
          <w:rFonts w:ascii="Arial" w:hAnsi="Arial"/>
          <w:sz w:val="24"/>
          <w:szCs w:val="24"/>
        </w:rPr>
        <w:t>-</w:t>
      </w:r>
      <w:r w:rsidRPr="0089206E">
        <w:rPr>
          <w:rFonts w:ascii="Arial" w:hAnsi="Arial"/>
          <w:sz w:val="24"/>
          <w:szCs w:val="24"/>
        </w:rPr>
        <w:t>identification</w:t>
      </w:r>
    </w:p>
    <w:p w14:paraId="23D58E67" w14:textId="77777777" w:rsidR="00A016F0" w:rsidRPr="0089206E" w:rsidRDefault="00A016F0" w:rsidP="00A016F0">
      <w:pPr>
        <w:pStyle w:val="ListParagraph"/>
        <w:numPr>
          <w:ilvl w:val="0"/>
          <w:numId w:val="3"/>
        </w:numPr>
        <w:rPr>
          <w:rFonts w:ascii="Arial" w:hAnsi="Arial"/>
          <w:sz w:val="24"/>
          <w:szCs w:val="24"/>
        </w:rPr>
      </w:pPr>
      <w:r w:rsidRPr="0089206E">
        <w:rPr>
          <w:rFonts w:ascii="Arial" w:hAnsi="Arial"/>
          <w:sz w:val="24"/>
          <w:szCs w:val="24"/>
        </w:rPr>
        <w:t>Date shifting is used</w:t>
      </w:r>
    </w:p>
    <w:p w14:paraId="3F554073" w14:textId="77777777" w:rsidR="00A016F0" w:rsidRPr="0089206E" w:rsidRDefault="00A016F0" w:rsidP="00A016F0">
      <w:pPr>
        <w:pStyle w:val="ListParagraph"/>
        <w:numPr>
          <w:ilvl w:val="0"/>
          <w:numId w:val="3"/>
        </w:numPr>
        <w:rPr>
          <w:rFonts w:ascii="Arial" w:hAnsi="Arial"/>
          <w:sz w:val="24"/>
          <w:szCs w:val="24"/>
        </w:rPr>
      </w:pPr>
      <w:r w:rsidRPr="0089206E">
        <w:rPr>
          <w:rFonts w:ascii="Arial" w:hAnsi="Arial"/>
          <w:sz w:val="24"/>
          <w:szCs w:val="24"/>
        </w:rPr>
        <w:t>Identifiers removed whenever possible</w:t>
      </w:r>
    </w:p>
    <w:p w14:paraId="24953C25" w14:textId="547D407A" w:rsidR="00A016F0" w:rsidRPr="0089206E" w:rsidRDefault="6AB3A7B0" w:rsidP="00A016F0">
      <w:pPr>
        <w:pStyle w:val="ListParagraph"/>
        <w:numPr>
          <w:ilvl w:val="0"/>
          <w:numId w:val="3"/>
        </w:numPr>
        <w:rPr>
          <w:rFonts w:ascii="Arial" w:hAnsi="Arial"/>
          <w:sz w:val="24"/>
          <w:szCs w:val="24"/>
        </w:rPr>
      </w:pPr>
      <w:r w:rsidRPr="0089206E">
        <w:rPr>
          <w:rFonts w:ascii="Arial" w:hAnsi="Arial"/>
          <w:sz w:val="24"/>
          <w:szCs w:val="24"/>
        </w:rPr>
        <w:t>All sites are allowed to use their internal policies.</w:t>
      </w:r>
    </w:p>
    <w:p w14:paraId="5DDDF3E2" w14:textId="77777777" w:rsidR="00A016F0" w:rsidRPr="0089206E" w:rsidRDefault="00A016F0" w:rsidP="00A016F0">
      <w:pPr>
        <w:pStyle w:val="ListParagraph"/>
        <w:numPr>
          <w:ilvl w:val="0"/>
          <w:numId w:val="3"/>
        </w:numPr>
        <w:rPr>
          <w:rFonts w:ascii="Arial" w:hAnsi="Arial"/>
          <w:sz w:val="24"/>
          <w:szCs w:val="24"/>
        </w:rPr>
      </w:pPr>
      <w:r w:rsidRPr="0089206E">
        <w:rPr>
          <w:rFonts w:ascii="Arial" w:hAnsi="Arial"/>
          <w:sz w:val="24"/>
          <w:szCs w:val="24"/>
        </w:rPr>
        <w:t>No Id’d materials are ever shared outside the GPC.</w:t>
      </w:r>
    </w:p>
    <w:p w14:paraId="56F11C0F" w14:textId="38B21C53" w:rsidR="0E3E442C" w:rsidRPr="0089206E" w:rsidRDefault="6AB3A7B0" w:rsidP="6AB3A7B0">
      <w:pPr>
        <w:numPr>
          <w:ilvl w:val="0"/>
          <w:numId w:val="3"/>
        </w:numPr>
        <w:rPr>
          <w:rFonts w:ascii="Arial" w:hAnsi="Arial"/>
          <w:sz w:val="24"/>
          <w:szCs w:val="24"/>
        </w:rPr>
      </w:pPr>
      <w:r w:rsidRPr="0089206E">
        <w:rPr>
          <w:rFonts w:ascii="Arial" w:hAnsi="Arial"/>
          <w:i/>
          <w:iCs/>
          <w:sz w:val="24"/>
          <w:szCs w:val="24"/>
        </w:rPr>
        <w:t>As part of the data quality checking, we verified that site de</w:t>
      </w:r>
      <w:r w:rsidR="0089206E" w:rsidRPr="0089206E">
        <w:rPr>
          <w:rFonts w:ascii="Arial" w:hAnsi="Arial"/>
          <w:i/>
          <w:iCs/>
          <w:sz w:val="24"/>
          <w:szCs w:val="24"/>
        </w:rPr>
        <w:t>-</w:t>
      </w:r>
      <w:r w:rsidRPr="0089206E">
        <w:rPr>
          <w:rFonts w:ascii="Arial" w:hAnsi="Arial"/>
          <w:i/>
          <w:iCs/>
          <w:sz w:val="24"/>
          <w:szCs w:val="24"/>
        </w:rPr>
        <w:t>identification practices are consistent with the Greater Plains Collaborative De</w:t>
      </w:r>
      <w:r w:rsidR="0089206E" w:rsidRPr="0089206E">
        <w:rPr>
          <w:rFonts w:ascii="Arial" w:hAnsi="Arial"/>
          <w:i/>
          <w:iCs/>
          <w:sz w:val="24"/>
          <w:szCs w:val="24"/>
        </w:rPr>
        <w:t>-</w:t>
      </w:r>
      <w:r w:rsidRPr="0089206E">
        <w:rPr>
          <w:rFonts w:ascii="Arial" w:hAnsi="Arial"/>
          <w:i/>
          <w:iCs/>
          <w:sz w:val="24"/>
          <w:szCs w:val="24"/>
        </w:rPr>
        <w:t>Identification Plan established April 2014 ( #73 ).</w:t>
      </w:r>
    </w:p>
    <w:p w14:paraId="3C6E9FF7" w14:textId="77777777" w:rsidR="0089206E" w:rsidRPr="0089206E" w:rsidRDefault="0089206E" w:rsidP="0089206E">
      <w:pPr>
        <w:rPr>
          <w:rFonts w:ascii="Arial" w:hAnsi="Arial"/>
          <w:sz w:val="24"/>
          <w:szCs w:val="24"/>
        </w:rPr>
      </w:pPr>
    </w:p>
    <w:p w14:paraId="5140C266" w14:textId="77777777" w:rsidR="0089206E" w:rsidRPr="0089206E" w:rsidRDefault="0089206E" w:rsidP="0089206E">
      <w:pPr>
        <w:rPr>
          <w:rFonts w:ascii="Arial" w:hAnsi="Arial"/>
          <w:b/>
          <w:sz w:val="24"/>
          <w:szCs w:val="24"/>
        </w:rPr>
      </w:pPr>
      <w:r w:rsidRPr="0089206E">
        <w:rPr>
          <w:rFonts w:ascii="Arial" w:hAnsi="Arial"/>
          <w:b/>
          <w:sz w:val="24"/>
          <w:szCs w:val="24"/>
        </w:rPr>
        <w:t xml:space="preserve">An Annual Survey will collect the status for each GPC site regarding the four Data Privacy main points described above. In case of non-compliance, the GPC security group will analyze the cases, and a mitigation plan will be developed. </w:t>
      </w:r>
      <w:r w:rsidRPr="0089206E">
        <w:rPr>
          <w:rFonts w:ascii="Arial" w:hAnsi="Arial"/>
          <w:b/>
          <w:sz w:val="24"/>
          <w:szCs w:val="24"/>
        </w:rPr>
        <w:lastRenderedPageBreak/>
        <w:t>The local site must implement the recommendations in a period defined by the recommendations. If the non-compliant GPC site fails to remediate the issue, the matter will escalate up to the GPC PIs to define an appropriate action.</w:t>
      </w:r>
    </w:p>
    <w:p w14:paraId="3615092D" w14:textId="77777777" w:rsidR="0089206E" w:rsidRPr="0089206E" w:rsidRDefault="0089206E" w:rsidP="6AB3A7B0">
      <w:pPr>
        <w:rPr>
          <w:rFonts w:ascii="Arial" w:hAnsi="Arial"/>
          <w:sz w:val="24"/>
          <w:szCs w:val="24"/>
        </w:rPr>
      </w:pPr>
    </w:p>
    <w:p w14:paraId="12715610" w14:textId="64C2023F" w:rsidR="0E3E442C" w:rsidRPr="0089206E" w:rsidRDefault="6AB3A7B0" w:rsidP="6AB3A7B0">
      <w:pPr>
        <w:rPr>
          <w:rFonts w:ascii="Arial" w:hAnsi="Arial"/>
          <w:sz w:val="24"/>
          <w:szCs w:val="24"/>
        </w:rPr>
      </w:pPr>
      <w:r w:rsidRPr="0089206E">
        <w:rPr>
          <w:rFonts w:ascii="Arial" w:hAnsi="Arial"/>
          <w:sz w:val="24"/>
          <w:szCs w:val="24"/>
        </w:rPr>
        <w:t>The PCORI Policies (3/17/15) cover:</w:t>
      </w:r>
    </w:p>
    <w:p w14:paraId="53F559F8" w14:textId="77777777" w:rsidR="0089206E" w:rsidRPr="0089206E" w:rsidRDefault="0089206E" w:rsidP="6AB3A7B0">
      <w:pPr>
        <w:ind w:left="720"/>
        <w:rPr>
          <w:rFonts w:ascii="Arial" w:eastAsia="Arial" w:hAnsi="Arial" w:cs="Arial"/>
          <w:b/>
          <w:bCs/>
          <w:color w:val="4F81BD"/>
          <w:sz w:val="24"/>
          <w:szCs w:val="24"/>
        </w:rPr>
      </w:pPr>
    </w:p>
    <w:p w14:paraId="70E66663" w14:textId="1E321F49" w:rsidR="6AB3A7B0" w:rsidRPr="0089206E" w:rsidRDefault="6AB3A7B0" w:rsidP="6AB3A7B0">
      <w:pPr>
        <w:ind w:left="720"/>
        <w:rPr>
          <w:rFonts w:ascii="Arial" w:hAnsi="Arial"/>
          <w:sz w:val="24"/>
          <w:szCs w:val="24"/>
        </w:rPr>
      </w:pPr>
      <w:r w:rsidRPr="0089206E">
        <w:rPr>
          <w:rFonts w:ascii="Arial" w:eastAsia="Arial" w:hAnsi="Arial" w:cs="Arial"/>
          <w:b/>
          <w:bCs/>
          <w:color w:val="4F81BD"/>
          <w:sz w:val="24"/>
          <w:szCs w:val="24"/>
        </w:rPr>
        <w:t>3.3.1 Compliance with Laws</w:t>
      </w:r>
    </w:p>
    <w:p w14:paraId="424C69B3" w14:textId="0B280665"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 </w:t>
      </w:r>
    </w:p>
    <w:p w14:paraId="505CB70D" w14:textId="78B2E606" w:rsidR="6AB3A7B0" w:rsidRPr="0089206E" w:rsidRDefault="6AB3A7B0" w:rsidP="6AB3A7B0">
      <w:pPr>
        <w:ind w:left="720"/>
        <w:rPr>
          <w:rFonts w:ascii="Arial" w:hAnsi="Arial"/>
          <w:sz w:val="24"/>
          <w:szCs w:val="24"/>
        </w:rPr>
      </w:pPr>
      <w:r w:rsidRPr="0089206E">
        <w:rPr>
          <w:rFonts w:ascii="Arial" w:eastAsia="Arial" w:hAnsi="Arial" w:cs="Arial"/>
          <w:sz w:val="24"/>
          <w:szCs w:val="24"/>
        </w:rPr>
        <w:t>Network Partners must comply with all applicable laws and regulations regarding human subjects research and the privacy and security of personal information, including but not limited to PHI, that apply to the Network Partners in connection with their participation in PCORnet, including but not limited to laws, regulations, and guidance regarding the creation, operation, and management of research repositories. Network Partners must adopt and comply with policies and procedures to ensure such compliance.</w:t>
      </w:r>
    </w:p>
    <w:p w14:paraId="434E9BD2" w14:textId="406DC736"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 </w:t>
      </w:r>
    </w:p>
    <w:p w14:paraId="21221B4B" w14:textId="3ADAA4AF" w:rsidR="6AB3A7B0" w:rsidRPr="0089206E" w:rsidRDefault="6AB3A7B0" w:rsidP="6AB3A7B0">
      <w:pPr>
        <w:ind w:left="720"/>
        <w:rPr>
          <w:rFonts w:ascii="Arial" w:hAnsi="Arial"/>
          <w:sz w:val="24"/>
          <w:szCs w:val="24"/>
        </w:rPr>
      </w:pPr>
      <w:r w:rsidRPr="0089206E">
        <w:rPr>
          <w:rFonts w:ascii="Arial" w:eastAsia="Arial" w:hAnsi="Arial" w:cs="Arial"/>
          <w:b/>
          <w:bCs/>
          <w:color w:val="4F81BD"/>
          <w:sz w:val="24"/>
          <w:szCs w:val="24"/>
        </w:rPr>
        <w:t>3.3.2 Security Risk Assessment and Policies</w:t>
      </w:r>
    </w:p>
    <w:p w14:paraId="1021A0DB" w14:textId="0AE41958"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 </w:t>
      </w:r>
    </w:p>
    <w:p w14:paraId="10DC27D6" w14:textId="13B3EFCD" w:rsidR="6AB3A7B0" w:rsidRPr="0089206E" w:rsidRDefault="6AB3A7B0" w:rsidP="6AB3A7B0">
      <w:pPr>
        <w:ind w:left="720"/>
        <w:rPr>
          <w:rFonts w:ascii="Arial" w:hAnsi="Arial"/>
          <w:sz w:val="24"/>
          <w:szCs w:val="24"/>
        </w:rPr>
      </w:pPr>
      <w:r w:rsidRPr="0089206E">
        <w:rPr>
          <w:rFonts w:ascii="Arial" w:eastAsia="Arial" w:hAnsi="Arial" w:cs="Arial"/>
          <w:sz w:val="24"/>
          <w:szCs w:val="24"/>
        </w:rPr>
        <w:t>All Network Partners must comply with the HIPAA Security Rule, including but not limited to conducting a security risk assessment consistent with the risk analysis required by the HIPAA Security Rule (</w:t>
      </w:r>
      <w:r w:rsidRPr="0089206E">
        <w:rPr>
          <w:rFonts w:ascii="Arial" w:eastAsia="Arial" w:hAnsi="Arial" w:cs="Arial"/>
          <w:i/>
          <w:iCs/>
          <w:sz w:val="24"/>
          <w:szCs w:val="24"/>
        </w:rPr>
        <w:t xml:space="preserve">see </w:t>
      </w:r>
      <w:r w:rsidRPr="0089206E">
        <w:rPr>
          <w:rFonts w:ascii="Arial" w:eastAsia="Arial" w:hAnsi="Arial" w:cs="Arial"/>
          <w:sz w:val="24"/>
          <w:szCs w:val="24"/>
        </w:rPr>
        <w:t xml:space="preserve"> 45 C.F.R. § 164.308(a)(1)(ii)(A)) and adopting appropriate policies and procedures to safeguard all Network Data and PCORnet Data that each Network Partner creates, stores, or receives.  At a minimum, these policies must address limitations on physical access to Network Data and PCORnet Data and protections against data hacking, theft, or destruction. The requirements of this Section 3.3.2 apply to all Network Partners as if they are “covered entities” under HIPAA, regardless of whether they are actually regulated by HIPAA.</w:t>
      </w:r>
    </w:p>
    <w:p w14:paraId="18608AF7" w14:textId="0E7A84DD"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  </w:t>
      </w:r>
    </w:p>
    <w:p w14:paraId="41243D34" w14:textId="3F8AEB6A" w:rsidR="6AB3A7B0" w:rsidRPr="0089206E" w:rsidRDefault="6AB3A7B0" w:rsidP="6AB3A7B0">
      <w:pPr>
        <w:ind w:left="720"/>
        <w:rPr>
          <w:rFonts w:ascii="Arial" w:hAnsi="Arial"/>
          <w:sz w:val="24"/>
          <w:szCs w:val="24"/>
        </w:rPr>
      </w:pPr>
      <w:r w:rsidRPr="0089206E">
        <w:rPr>
          <w:rFonts w:ascii="Arial" w:eastAsia="Arial" w:hAnsi="Arial" w:cs="Arial"/>
          <w:b/>
          <w:bCs/>
          <w:color w:val="4F81BD"/>
          <w:sz w:val="24"/>
          <w:szCs w:val="24"/>
        </w:rPr>
        <w:t>3.3.3 Breaches</w:t>
      </w:r>
    </w:p>
    <w:p w14:paraId="48B0E7A4" w14:textId="033BE007"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 </w:t>
      </w:r>
    </w:p>
    <w:p w14:paraId="2D0EFAF5" w14:textId="08801E44" w:rsidR="6AB3A7B0" w:rsidRPr="0089206E" w:rsidRDefault="6AB3A7B0" w:rsidP="6AB3A7B0">
      <w:pPr>
        <w:ind w:left="720"/>
        <w:rPr>
          <w:rFonts w:ascii="Arial" w:hAnsi="Arial"/>
          <w:sz w:val="24"/>
          <w:szCs w:val="24"/>
        </w:rPr>
      </w:pPr>
      <w:r w:rsidRPr="0089206E">
        <w:rPr>
          <w:rFonts w:ascii="Arial" w:eastAsia="Arial" w:hAnsi="Arial" w:cs="Arial"/>
          <w:sz w:val="24"/>
          <w:szCs w:val="24"/>
        </w:rPr>
        <w:t>All Network Partners must adopt policies and procedures to investigate and manage any Breach, including but not limited to providing notification to affected individuals and mitigation of potential harm.  At a minimum, the policies and procedures must comply with the requirements of HIPAA and any applicable state laws.  The requirements of this Section 3.3.3 apply to all Network Partners as if they are “covered entities” under HIPAA, regardless of whether they are actually regulated by HIPAA.</w:t>
      </w:r>
    </w:p>
    <w:p w14:paraId="3E24EBB3" w14:textId="227597B2"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 </w:t>
      </w:r>
    </w:p>
    <w:p w14:paraId="7CF9A4D6" w14:textId="30CACC57" w:rsidR="6AB3A7B0" w:rsidRDefault="6AB3A7B0" w:rsidP="6AB3A7B0">
      <w:pPr>
        <w:ind w:left="720"/>
        <w:rPr>
          <w:rFonts w:ascii="Arial" w:eastAsia="Arial" w:hAnsi="Arial" w:cs="Arial"/>
          <w:sz w:val="24"/>
          <w:szCs w:val="24"/>
        </w:rPr>
      </w:pPr>
      <w:r w:rsidRPr="0089206E">
        <w:rPr>
          <w:rFonts w:ascii="Arial" w:eastAsia="Arial" w:hAnsi="Arial" w:cs="Arial"/>
          <w:sz w:val="24"/>
          <w:szCs w:val="24"/>
        </w:rPr>
        <w:t>In the event that a Network Partner determines that it has experienced a Breach, the Network Partner must notify the CC that the Breach has occurred within sixty (60) days of the discovery of the Breach, and the Network Partner must provide timely updates regarding the investigation, patient notifications, and mitigation steps thereafter.</w:t>
      </w:r>
    </w:p>
    <w:p w14:paraId="23A4C332" w14:textId="77777777" w:rsidR="0089206E" w:rsidRDefault="0089206E" w:rsidP="6AB3A7B0">
      <w:pPr>
        <w:ind w:left="720"/>
        <w:rPr>
          <w:rFonts w:ascii="Arial" w:eastAsia="Arial" w:hAnsi="Arial" w:cs="Arial"/>
          <w:sz w:val="24"/>
          <w:szCs w:val="24"/>
        </w:rPr>
      </w:pPr>
    </w:p>
    <w:p w14:paraId="02E10C8A" w14:textId="77777777" w:rsidR="0089206E" w:rsidRPr="0089206E" w:rsidRDefault="0089206E" w:rsidP="6AB3A7B0">
      <w:pPr>
        <w:ind w:left="720"/>
        <w:rPr>
          <w:rFonts w:ascii="Arial" w:hAnsi="Arial"/>
          <w:sz w:val="24"/>
          <w:szCs w:val="24"/>
        </w:rPr>
      </w:pPr>
    </w:p>
    <w:p w14:paraId="7663C4D6" w14:textId="2FE83A24" w:rsidR="6AB3A7B0" w:rsidRPr="0089206E" w:rsidRDefault="6AB3A7B0" w:rsidP="6AB3A7B0">
      <w:pPr>
        <w:ind w:left="720"/>
        <w:rPr>
          <w:rFonts w:ascii="Arial" w:hAnsi="Arial"/>
          <w:sz w:val="24"/>
          <w:szCs w:val="24"/>
        </w:rPr>
      </w:pPr>
      <w:r w:rsidRPr="0089206E">
        <w:rPr>
          <w:rFonts w:ascii="Arial" w:eastAsia="Arial" w:hAnsi="Arial" w:cs="Arial"/>
          <w:sz w:val="24"/>
          <w:szCs w:val="24"/>
        </w:rPr>
        <w:lastRenderedPageBreak/>
        <w:t xml:space="preserve"> </w:t>
      </w:r>
    </w:p>
    <w:p w14:paraId="0ED0D90C" w14:textId="2F8E0000" w:rsidR="6AB3A7B0" w:rsidRPr="0089206E" w:rsidRDefault="6AB3A7B0" w:rsidP="6AB3A7B0">
      <w:pPr>
        <w:ind w:left="720"/>
        <w:rPr>
          <w:rFonts w:ascii="Arial" w:hAnsi="Arial"/>
          <w:i/>
          <w:sz w:val="24"/>
          <w:szCs w:val="24"/>
        </w:rPr>
      </w:pPr>
      <w:r w:rsidRPr="0089206E">
        <w:rPr>
          <w:rFonts w:ascii="Arial" w:eastAsia="Arial" w:hAnsi="Arial" w:cs="Arial"/>
          <w:bCs/>
          <w:i/>
          <w:sz w:val="24"/>
          <w:szCs w:val="24"/>
        </w:rPr>
        <w:t xml:space="preserve">[Note:  The policy regarding breaches defaults to HIPAA and applicable state laws, with the exception that even Network Partners that are not subject to HIPAA are obligated to adopt policies and procedures consistent with HIPAA’s requirements for breach notification.  This approach was intended to ensure that patients whose data is captured by PCORnet will be notified in the event of a breach while aligning compliance responsibilities with existing requirements. HIPAA requires a covered entity to notify affected individuals and the Office of Civil Rights within the U.S. Department of Health and Human Services (OCR) following a security breach involving unsecured protected health information.  The notice must be provided to individuals “without unreasonable delay” and in all cases no later than 60 days from the discovery of the breach.  HIPAA dictates the required content and mechanism of the notice.  In cases where the breach involves more than 500 individuals, the covered entity must also notify prominent media outlets.  In addition, breaches involving more than 500 individuals are listed on a website maintained by OCR (see </w:t>
      </w:r>
      <w:hyperlink r:id="rId6">
        <w:r w:rsidRPr="0089206E">
          <w:rPr>
            <w:rStyle w:val="Hyperlink"/>
            <w:rFonts w:ascii="Arial" w:eastAsia="Arial" w:hAnsi="Arial" w:cs="Arial"/>
            <w:bCs/>
            <w:i/>
            <w:sz w:val="24"/>
            <w:szCs w:val="24"/>
          </w:rPr>
          <w:t>https://ocrportal.hhs.gov/ocr/breach/breach_report.jsf</w:t>
        </w:r>
      </w:hyperlink>
      <w:r w:rsidRPr="0089206E">
        <w:rPr>
          <w:rFonts w:ascii="Arial" w:eastAsia="Arial" w:hAnsi="Arial" w:cs="Arial"/>
          <w:bCs/>
          <w:i/>
          <w:sz w:val="24"/>
          <w:szCs w:val="24"/>
        </w:rPr>
        <w:t>).  Some states also have laws requiring notification of patients following a breach.  In these states, Network Partners must meet their obligations under both HIPAA and the state laws.  The policy in Section 3.3.3 also requires notification to the CC, with timely updates following the notification.  The CC would be expected to provide notice and reports to PCORI consistent with the terms of the Phase II agreement between PCORI and the CC.]</w:t>
      </w:r>
    </w:p>
    <w:p w14:paraId="4F0925DB" w14:textId="0028676E"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 </w:t>
      </w:r>
    </w:p>
    <w:p w14:paraId="227693C6" w14:textId="7D2F139A" w:rsidR="6AB3A7B0" w:rsidRPr="0089206E" w:rsidRDefault="6AB3A7B0" w:rsidP="6AB3A7B0">
      <w:pPr>
        <w:ind w:left="720"/>
        <w:rPr>
          <w:rFonts w:ascii="Arial" w:hAnsi="Arial"/>
          <w:sz w:val="24"/>
          <w:szCs w:val="24"/>
        </w:rPr>
      </w:pPr>
      <w:r w:rsidRPr="0089206E">
        <w:rPr>
          <w:rFonts w:ascii="Arial" w:eastAsia="Arial" w:hAnsi="Arial" w:cs="Arial"/>
          <w:b/>
          <w:bCs/>
          <w:color w:val="4F81BD"/>
          <w:sz w:val="24"/>
          <w:szCs w:val="24"/>
        </w:rPr>
        <w:t>3.3.4 Training</w:t>
      </w:r>
    </w:p>
    <w:p w14:paraId="330A48F1" w14:textId="1209A790"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 </w:t>
      </w:r>
    </w:p>
    <w:p w14:paraId="6E31DCDE" w14:textId="1EA9EC75"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Each Network Partner must train its workforce members who are involved with PCORnet, including employees and independent contractors as applicable, on the Network Partner’s policies and procedures adopted in accordance with this Section 3.3. Network Partners must require that their subcontractors abide by the same policies and procedures with respect to Network Data and PCORnet Data.  </w:t>
      </w:r>
    </w:p>
    <w:p w14:paraId="0D71DE3D" w14:textId="4541A88B" w:rsidR="6AB3A7B0" w:rsidRPr="0089206E" w:rsidRDefault="6AB3A7B0" w:rsidP="6AB3A7B0">
      <w:pPr>
        <w:ind w:left="720"/>
        <w:rPr>
          <w:rFonts w:ascii="Arial" w:hAnsi="Arial"/>
          <w:sz w:val="24"/>
          <w:szCs w:val="24"/>
        </w:rPr>
      </w:pPr>
      <w:r w:rsidRPr="0089206E">
        <w:rPr>
          <w:rFonts w:ascii="Arial" w:eastAsia="Arial" w:hAnsi="Arial" w:cs="Arial"/>
          <w:sz w:val="24"/>
          <w:szCs w:val="24"/>
        </w:rPr>
        <w:t xml:space="preserve"> </w:t>
      </w:r>
    </w:p>
    <w:p w14:paraId="43690DEE" w14:textId="0A3CA5A9" w:rsidR="6AB3A7B0" w:rsidRPr="0089206E" w:rsidRDefault="6AB3A7B0" w:rsidP="6AB3A7B0">
      <w:pPr>
        <w:ind w:left="720"/>
        <w:rPr>
          <w:rFonts w:ascii="Arial" w:hAnsi="Arial"/>
          <w:sz w:val="24"/>
          <w:szCs w:val="24"/>
        </w:rPr>
      </w:pPr>
      <w:r w:rsidRPr="0089206E">
        <w:rPr>
          <w:rFonts w:ascii="Arial" w:eastAsia="Arial" w:hAnsi="Arial" w:cs="Arial"/>
          <w:sz w:val="24"/>
          <w:szCs w:val="24"/>
        </w:rPr>
        <w:t>Network Data Affiliates may, but are not required to, adopt the same policies and procedures as the Network Partner.  However, Network Data Affiliates must comply with all of the requirements of this Section 3.3.</w:t>
      </w:r>
    </w:p>
    <w:p w14:paraId="02A6C4B5" w14:textId="26429C6A" w:rsidR="6AB3A7B0" w:rsidRPr="0089206E" w:rsidRDefault="6AB3A7B0">
      <w:pPr>
        <w:rPr>
          <w:rFonts w:ascii="Arial" w:hAnsi="Arial"/>
          <w:sz w:val="24"/>
          <w:szCs w:val="24"/>
        </w:rPr>
      </w:pPr>
      <w:r w:rsidRPr="0089206E">
        <w:rPr>
          <w:rFonts w:ascii="Arial" w:eastAsia="Arial" w:hAnsi="Arial" w:cs="Arial"/>
          <w:sz w:val="24"/>
          <w:szCs w:val="24"/>
        </w:rPr>
        <w:t xml:space="preserve"> </w:t>
      </w:r>
    </w:p>
    <w:p w14:paraId="72BD5FA7" w14:textId="0246BC44" w:rsidR="6AB3A7B0" w:rsidRPr="0089206E" w:rsidRDefault="0089206E" w:rsidP="6AB3A7B0">
      <w:pPr>
        <w:rPr>
          <w:rFonts w:ascii="Arial" w:hAnsi="Arial"/>
          <w:b/>
          <w:sz w:val="24"/>
          <w:szCs w:val="24"/>
        </w:rPr>
      </w:pPr>
      <w:r w:rsidRPr="0089206E">
        <w:rPr>
          <w:rFonts w:ascii="Arial" w:hAnsi="Arial"/>
          <w:b/>
          <w:sz w:val="24"/>
          <w:szCs w:val="24"/>
        </w:rPr>
        <w:t xml:space="preserve">An Annual Survey will collect the status for each GPC site regarding </w:t>
      </w:r>
      <w:r>
        <w:rPr>
          <w:rFonts w:ascii="Arial" w:hAnsi="Arial"/>
          <w:b/>
          <w:sz w:val="24"/>
          <w:szCs w:val="24"/>
        </w:rPr>
        <w:t>policies 3.3.1, 3.3.2, 3.3.3, 3.3.4</w:t>
      </w:r>
      <w:r w:rsidRPr="0089206E">
        <w:rPr>
          <w:rFonts w:ascii="Arial" w:hAnsi="Arial"/>
          <w:b/>
          <w:sz w:val="24"/>
          <w:szCs w:val="24"/>
        </w:rPr>
        <w:t>. In case of non-compliance, the GPC security group will analyze the cases, and a mitigation plan will be developed. The local site must implement the recommendations in a period defined by the recommendations. If the non-compliant GPC site fails to remediate the issue, the matter will escalate up to the GPC PIs to define an appropriate action.</w:t>
      </w:r>
    </w:p>
    <w:sectPr w:rsidR="6AB3A7B0" w:rsidRPr="00892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61D"/>
    <w:multiLevelType w:val="hybridMultilevel"/>
    <w:tmpl w:val="2D986BE6"/>
    <w:lvl w:ilvl="0" w:tplc="7EEA4E72">
      <w:numFmt w:val="bullet"/>
      <w:lvlText w:val=""/>
      <w:lvlJc w:val="left"/>
      <w:pPr>
        <w:ind w:left="720" w:hanging="360"/>
      </w:pPr>
      <w:rPr>
        <w:rFonts w:ascii="Symbol" w:eastAsiaTheme="minorHAnsi" w:hAnsi="Symbol"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D2897"/>
    <w:multiLevelType w:val="hybridMultilevel"/>
    <w:tmpl w:val="BE56A2F4"/>
    <w:lvl w:ilvl="0" w:tplc="7EEA4E72">
      <w:numFmt w:val="bullet"/>
      <w:lvlText w:val=""/>
      <w:lvlJc w:val="left"/>
      <w:pPr>
        <w:ind w:left="720" w:hanging="360"/>
      </w:pPr>
      <w:rPr>
        <w:rFonts w:ascii="Symbol" w:eastAsiaTheme="minorHAnsi" w:hAnsi="Symbol"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2120F"/>
    <w:multiLevelType w:val="hybridMultilevel"/>
    <w:tmpl w:val="DBE68F9E"/>
    <w:lvl w:ilvl="0" w:tplc="7EEA4E72">
      <w:numFmt w:val="bullet"/>
      <w:lvlText w:val=""/>
      <w:lvlJc w:val="left"/>
      <w:pPr>
        <w:ind w:left="360" w:hanging="360"/>
      </w:pPr>
      <w:rPr>
        <w:rFonts w:ascii="Symbol" w:eastAsiaTheme="minorHAnsi" w:hAnsi="Symbol" w:cs="Times New Roman"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F0"/>
    <w:rsid w:val="003F57A3"/>
    <w:rsid w:val="0089206E"/>
    <w:rsid w:val="00960AF1"/>
    <w:rsid w:val="00A016F0"/>
    <w:rsid w:val="00A502EC"/>
    <w:rsid w:val="0E3E442C"/>
    <w:rsid w:val="6AB3A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B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F0"/>
    <w:pPr>
      <w:spacing w:after="0" w:line="240" w:lineRule="auto"/>
    </w:pPr>
    <w:rPr>
      <w:rFonts w:ascii="Calibri" w:hAnsi="Calibri" w:cs="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F0"/>
    <w:pPr>
      <w:ind w:left="720"/>
      <w:contextualSpacing/>
    </w:pPr>
  </w:style>
  <w:style w:type="character" w:customStyle="1" w:styleId="CaptionChar">
    <w:name w:val="Caption Char"/>
    <w:basedOn w:val="DefaultParagraphFont"/>
    <w:link w:val="Caption"/>
    <w:locked/>
    <w:rsid w:val="00A016F0"/>
    <w:rPr>
      <w:rFonts w:ascii="Calibri" w:eastAsia="Times New Roman" w:hAnsi="Calibri" w:cs="Times New Roman"/>
      <w:bCs/>
      <w:szCs w:val="20"/>
    </w:rPr>
  </w:style>
  <w:style w:type="paragraph" w:styleId="Caption">
    <w:name w:val="caption"/>
    <w:basedOn w:val="Normal"/>
    <w:next w:val="Normal"/>
    <w:link w:val="CaptionChar"/>
    <w:unhideWhenUsed/>
    <w:qFormat/>
    <w:rsid w:val="00A016F0"/>
    <w:rPr>
      <w:rFonts w:eastAsia="Times New Roman"/>
      <w:bCs/>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F0"/>
    <w:pPr>
      <w:spacing w:after="0" w:line="240" w:lineRule="auto"/>
    </w:pPr>
    <w:rPr>
      <w:rFonts w:ascii="Calibri" w:hAnsi="Calibri" w:cs="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F0"/>
    <w:pPr>
      <w:ind w:left="720"/>
      <w:contextualSpacing/>
    </w:pPr>
  </w:style>
  <w:style w:type="character" w:customStyle="1" w:styleId="CaptionChar">
    <w:name w:val="Caption Char"/>
    <w:basedOn w:val="DefaultParagraphFont"/>
    <w:link w:val="Caption"/>
    <w:locked/>
    <w:rsid w:val="00A016F0"/>
    <w:rPr>
      <w:rFonts w:ascii="Calibri" w:eastAsia="Times New Roman" w:hAnsi="Calibri" w:cs="Times New Roman"/>
      <w:bCs/>
      <w:szCs w:val="20"/>
    </w:rPr>
  </w:style>
  <w:style w:type="paragraph" w:styleId="Caption">
    <w:name w:val="caption"/>
    <w:basedOn w:val="Normal"/>
    <w:next w:val="Normal"/>
    <w:link w:val="CaptionChar"/>
    <w:unhideWhenUsed/>
    <w:qFormat/>
    <w:rsid w:val="00A016F0"/>
    <w:rPr>
      <w:rFonts w:eastAsia="Times New Roman"/>
      <w:bCs/>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9556">
      <w:bodyDiv w:val="1"/>
      <w:marLeft w:val="0"/>
      <w:marRight w:val="0"/>
      <w:marTop w:val="0"/>
      <w:marBottom w:val="0"/>
      <w:divBdr>
        <w:top w:val="none" w:sz="0" w:space="0" w:color="auto"/>
        <w:left w:val="none" w:sz="0" w:space="0" w:color="auto"/>
        <w:bottom w:val="none" w:sz="0" w:space="0" w:color="auto"/>
        <w:right w:val="none" w:sz="0" w:space="0" w:color="auto"/>
      </w:divBdr>
    </w:div>
    <w:div w:id="10364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rportal.hhs.gov/ocr/breach/breach_report.js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1111</Words>
  <Characters>6335</Characters>
  <Application>Microsoft Office Word</Application>
  <DocSecurity>0</DocSecurity>
  <Lines>52</Lines>
  <Paragraphs>14</Paragraphs>
  <ScaleCrop>false</ScaleCrop>
  <Company>UW Health - UWHC</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Mish</dc:creator>
  <cp:lastModifiedBy>Umberto Tachinardi</cp:lastModifiedBy>
  <cp:revision>2</cp:revision>
  <dcterms:created xsi:type="dcterms:W3CDTF">2015-08-03T16:46:00Z</dcterms:created>
  <dcterms:modified xsi:type="dcterms:W3CDTF">2015-08-03T16:46:00Z</dcterms:modified>
</cp:coreProperties>
</file>