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33F" w:rsidRPr="000D28C8" w:rsidRDefault="000D28C8" w:rsidP="00BC54AB">
      <w:pPr>
        <w:jc w:val="both"/>
        <w:rPr>
          <w:noProof/>
        </w:rPr>
      </w:pPr>
      <w:bookmarkStart w:id="0" w:name="_GoBack"/>
      <w:bookmarkEnd w:id="0"/>
      <w:r>
        <w:rPr>
          <w:noProof/>
          <w:lang w:val="en-US" w:eastAsia="ru-RU"/>
        </w:rPr>
        <w:t xml:space="preserve">   </w:t>
      </w:r>
      <w:r>
        <w:rPr>
          <w:noProof/>
          <w:lang w:val="ru-RU" w:eastAsia="ru-RU"/>
        </w:rPr>
        <w:drawing>
          <wp:inline distT="0" distB="0" distL="0" distR="0">
            <wp:extent cx="1792037" cy="12014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656" cy="119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BC54AB" w:rsidRPr="000D28C8">
        <w:rPr>
          <w:noProof/>
          <w:lang w:eastAsia="ru-RU"/>
        </w:rPr>
        <w:t xml:space="preserve"> </w:t>
      </w:r>
      <w:r w:rsidR="00EE6C6E">
        <w:rPr>
          <w:noProof/>
          <w:lang w:val="en-US" w:eastAsia="ru-RU"/>
        </w:rPr>
        <w:t xml:space="preserve">  </w:t>
      </w:r>
      <w:r w:rsidR="00C6428D">
        <w:rPr>
          <w:noProof/>
          <w:lang w:val="en-US" w:eastAsia="ru-RU"/>
        </w:rPr>
        <w:t xml:space="preserve">    </w:t>
      </w:r>
      <w:r w:rsidR="00EE6C6E">
        <w:rPr>
          <w:noProof/>
          <w:lang w:val="en-US" w:eastAsia="ru-RU"/>
        </w:rPr>
        <w:t xml:space="preserve">    </w:t>
      </w:r>
      <w:r>
        <w:rPr>
          <w:noProof/>
          <w:lang w:val="ru-RU" w:eastAsia="ru-RU"/>
        </w:rPr>
        <w:drawing>
          <wp:inline distT="0" distB="0" distL="0" distR="0" wp14:anchorId="67CF4839" wp14:editId="1612ABB8">
            <wp:extent cx="1350335" cy="1160256"/>
            <wp:effectExtent l="0" t="0" r="254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mbassad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206" cy="116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4AB" w:rsidRPr="000D28C8">
        <w:rPr>
          <w:noProof/>
          <w:lang w:eastAsia="ru-RU"/>
        </w:rPr>
        <w:t xml:space="preserve">          </w:t>
      </w:r>
      <w:r w:rsidR="00C6428D">
        <w:rPr>
          <w:noProof/>
          <w:lang w:eastAsia="ru-RU"/>
        </w:rPr>
        <w:t xml:space="preserve">          </w:t>
      </w:r>
      <w:r w:rsidR="00BC54AB" w:rsidRPr="000D28C8">
        <w:rPr>
          <w:noProof/>
          <w:lang w:eastAsia="ru-RU"/>
        </w:rPr>
        <w:t xml:space="preserve">   </w:t>
      </w:r>
      <w:r>
        <w:rPr>
          <w:noProof/>
          <w:lang w:val="ru-RU" w:eastAsia="ru-RU"/>
        </w:rPr>
        <w:drawing>
          <wp:inline distT="0" distB="0" distL="0" distR="0" wp14:anchorId="21C89CFB" wp14:editId="283B1264">
            <wp:extent cx="1084521" cy="1092380"/>
            <wp:effectExtent l="0" t="0" r="1905" b="0"/>
            <wp:docPr id="3" name="Image 3" descr="Relais Culture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is Culture Euro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126" cy="109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4AB" w:rsidRPr="000D28C8">
        <w:rPr>
          <w:noProof/>
          <w:lang w:eastAsia="ru-RU"/>
        </w:rPr>
        <w:t xml:space="preserve">                                                                      </w:t>
      </w:r>
    </w:p>
    <w:p w:rsidR="00F90A23" w:rsidRPr="000D28C8" w:rsidRDefault="00F90A23" w:rsidP="00BC54AB">
      <w:r w:rsidRPr="000D28C8">
        <w:t xml:space="preserve">            </w:t>
      </w:r>
    </w:p>
    <w:p w:rsidR="002D6EE3" w:rsidRPr="000D28C8" w:rsidRDefault="000D28C8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ED549" wp14:editId="39592344">
                <wp:simplePos x="0" y="0"/>
                <wp:positionH relativeFrom="column">
                  <wp:posOffset>3203575</wp:posOffset>
                </wp:positionH>
                <wp:positionV relativeFrom="paragraph">
                  <wp:posOffset>46355</wp:posOffset>
                </wp:positionV>
                <wp:extent cx="1838960" cy="701675"/>
                <wp:effectExtent l="0" t="0" r="27940" b="222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701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52.25pt;margin-top:3.65pt;width:144.8pt;height:5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" fillcolor="white [3212]" strokecolor="white [3212]" strokeweight="2pt"/>
            </w:pict>
          </mc:Fallback>
        </mc:AlternateContent>
      </w:r>
    </w:p>
    <w:p w:rsidR="00FC5962" w:rsidRPr="000D28C8" w:rsidRDefault="00FC5962">
      <w:pPr>
        <w:rPr>
          <w:sz w:val="28"/>
        </w:rPr>
      </w:pPr>
    </w:p>
    <w:p w:rsidR="00BC54AB" w:rsidRPr="00F96FE5" w:rsidRDefault="00BC54AB" w:rsidP="00FC5962">
      <w:pPr>
        <w:jc w:val="center"/>
        <w:rPr>
          <w:sz w:val="28"/>
          <w:lang w:val="ro-RO"/>
        </w:rPr>
      </w:pPr>
    </w:p>
    <w:p w:rsidR="00530963" w:rsidRPr="00F96FE5" w:rsidRDefault="00530963" w:rsidP="00F96FE5">
      <w:pPr>
        <w:jc w:val="center"/>
        <w:rPr>
          <w:sz w:val="28"/>
          <w:lang w:val="ro-RO"/>
        </w:rPr>
      </w:pPr>
      <w:r w:rsidRPr="00F96FE5">
        <w:rPr>
          <w:sz w:val="28"/>
          <w:lang w:val="ro-RO"/>
        </w:rPr>
        <w:t>Invitaţie</w:t>
      </w:r>
    </w:p>
    <w:p w:rsidR="00FC5962" w:rsidRPr="00530963" w:rsidRDefault="00530963" w:rsidP="00F96FE5">
      <w:pPr>
        <w:jc w:val="center"/>
        <w:rPr>
          <w:lang w:val="ro-RO"/>
        </w:rPr>
      </w:pPr>
      <w:r w:rsidRPr="00530963">
        <w:rPr>
          <w:b/>
          <w:i/>
          <w:lang w:val="ro-RO"/>
        </w:rPr>
        <w:t>W</w:t>
      </w:r>
      <w:r w:rsidR="00FC5962" w:rsidRPr="00530963">
        <w:rPr>
          <w:b/>
          <w:i/>
          <w:lang w:val="ro-RO"/>
        </w:rPr>
        <w:t>orkshop</w:t>
      </w:r>
      <w:r w:rsidRPr="00530963">
        <w:rPr>
          <w:i/>
          <w:lang w:val="ro-RO"/>
        </w:rPr>
        <w:t>:</w:t>
      </w:r>
      <w:r>
        <w:rPr>
          <w:i/>
          <w:lang w:val="ro-RO"/>
        </w:rPr>
        <w:t xml:space="preserve"> </w:t>
      </w:r>
      <w:r w:rsidR="00B037A6" w:rsidRPr="00530963">
        <w:rPr>
          <w:b/>
          <w:i/>
          <w:lang w:val="ro-RO"/>
        </w:rPr>
        <w:t>Acţiuni cheie pentru a aplica cu</w:t>
      </w:r>
      <w:r w:rsidR="008B3760" w:rsidRPr="00530963">
        <w:rPr>
          <w:b/>
          <w:i/>
          <w:lang w:val="ro-RO"/>
        </w:rPr>
        <w:t xml:space="preserve"> succe</w:t>
      </w:r>
      <w:r w:rsidR="00B037A6" w:rsidRPr="00530963">
        <w:rPr>
          <w:b/>
          <w:i/>
          <w:lang w:val="ro-RO"/>
        </w:rPr>
        <w:t>s la Programul Europa Creativă</w:t>
      </w:r>
    </w:p>
    <w:p w:rsidR="00FC5962" w:rsidRPr="008B3760" w:rsidRDefault="00FC5962" w:rsidP="00F96FE5">
      <w:pPr>
        <w:jc w:val="center"/>
        <w:rPr>
          <w:lang w:val="ro-RO"/>
        </w:rPr>
      </w:pPr>
      <w:r w:rsidRPr="008B3760">
        <w:rPr>
          <w:lang w:val="ro-RO"/>
        </w:rPr>
        <w:t>30</w:t>
      </w:r>
      <w:r w:rsidR="00B037A6" w:rsidRPr="008B3760">
        <w:rPr>
          <w:vertAlign w:val="superscript"/>
          <w:lang w:val="ro-RO"/>
        </w:rPr>
        <w:t xml:space="preserve"> </w:t>
      </w:r>
      <w:r w:rsidR="00D320F4">
        <w:rPr>
          <w:lang w:val="ro-RO"/>
        </w:rPr>
        <w:t>i</w:t>
      </w:r>
      <w:r w:rsidR="00B037A6" w:rsidRPr="008B3760">
        <w:rPr>
          <w:lang w:val="ro-RO"/>
        </w:rPr>
        <w:t xml:space="preserve">unie </w:t>
      </w:r>
      <w:r w:rsidRPr="008B3760">
        <w:rPr>
          <w:lang w:val="ro-RO"/>
        </w:rPr>
        <w:t>– 1</w:t>
      </w:r>
      <w:r w:rsidR="00B037A6" w:rsidRPr="008B3760">
        <w:rPr>
          <w:vertAlign w:val="superscript"/>
          <w:lang w:val="ro-RO"/>
        </w:rPr>
        <w:t xml:space="preserve"> </w:t>
      </w:r>
      <w:r w:rsidR="00D320F4">
        <w:rPr>
          <w:lang w:val="ro-RO"/>
        </w:rPr>
        <w:t>i</w:t>
      </w:r>
      <w:r w:rsidR="00B037A6" w:rsidRPr="008B3760">
        <w:rPr>
          <w:lang w:val="ro-RO"/>
        </w:rPr>
        <w:t>ulie</w:t>
      </w:r>
      <w:r w:rsidRPr="008B3760">
        <w:rPr>
          <w:lang w:val="ro-RO"/>
        </w:rPr>
        <w:t xml:space="preserve"> 2015</w:t>
      </w:r>
    </w:p>
    <w:p w:rsidR="002D6EE3" w:rsidRPr="008B3760" w:rsidRDefault="002D6EE3">
      <w:pPr>
        <w:rPr>
          <w:lang w:val="ro-RO"/>
        </w:rPr>
      </w:pPr>
    </w:p>
    <w:p w:rsidR="002D6EE3" w:rsidRPr="00530963" w:rsidRDefault="002D6EE3" w:rsidP="00AF4649">
      <w:pPr>
        <w:jc w:val="both"/>
        <w:rPr>
          <w:lang w:val="ro-RO"/>
        </w:rPr>
      </w:pPr>
    </w:p>
    <w:p w:rsidR="00B037A6" w:rsidRPr="00530963" w:rsidRDefault="00B037A6" w:rsidP="00530963">
      <w:pPr>
        <w:spacing w:line="276" w:lineRule="auto"/>
        <w:ind w:firstLine="708"/>
        <w:jc w:val="both"/>
        <w:rPr>
          <w:lang w:val="ro-RO"/>
        </w:rPr>
      </w:pPr>
      <w:r w:rsidRPr="00530963">
        <w:rPr>
          <w:lang w:val="ro-RO"/>
        </w:rPr>
        <w:t>Ministerul Culturii al Republicii Moldova are</w:t>
      </w:r>
      <w:r w:rsidR="002957C9" w:rsidRPr="00530963">
        <w:rPr>
          <w:lang w:val="ro-RO"/>
        </w:rPr>
        <w:t xml:space="preserve"> deosebita</w:t>
      </w:r>
      <w:r w:rsidRPr="00530963">
        <w:rPr>
          <w:lang w:val="ro-RO"/>
        </w:rPr>
        <w:t xml:space="preserve"> onoare</w:t>
      </w:r>
      <w:r w:rsidR="002957C9" w:rsidRPr="00530963">
        <w:rPr>
          <w:lang w:val="ro-RO"/>
        </w:rPr>
        <w:t xml:space="preserve"> de a vă invita să participați la </w:t>
      </w:r>
      <w:r w:rsidR="004F2634" w:rsidRPr="00530963">
        <w:rPr>
          <w:b/>
          <w:i/>
          <w:lang w:val="ro-RO"/>
        </w:rPr>
        <w:t>Workshop-ul</w:t>
      </w:r>
      <w:r w:rsidR="001B03EE">
        <w:rPr>
          <w:b/>
          <w:i/>
          <w:lang w:val="ro-RO"/>
        </w:rPr>
        <w:t>: A</w:t>
      </w:r>
      <w:r w:rsidR="002957C9" w:rsidRPr="00530963">
        <w:rPr>
          <w:b/>
          <w:i/>
          <w:lang w:val="ro-RO"/>
        </w:rPr>
        <w:t>cțiunile cheie pentru aplicarea cu succes la Programul Europa Creativă</w:t>
      </w:r>
      <w:r w:rsidR="002957C9" w:rsidRPr="00530963">
        <w:rPr>
          <w:lang w:val="ro-RO"/>
        </w:rPr>
        <w:t xml:space="preserve">, eveniment </w:t>
      </w:r>
      <w:r w:rsidRPr="00530963">
        <w:rPr>
          <w:lang w:val="ro-RO"/>
        </w:rPr>
        <w:t xml:space="preserve">organizat în parteneriat cu Ambasada Franței în Republica Moldova </w:t>
      </w:r>
      <w:r w:rsidR="002957C9" w:rsidRPr="00530963">
        <w:rPr>
          <w:lang w:val="ro-RO"/>
        </w:rPr>
        <w:t>în perioada 30 iunie – 1 iulie</w:t>
      </w:r>
      <w:r w:rsidR="00C213F2">
        <w:rPr>
          <w:lang w:val="ro-RO"/>
        </w:rPr>
        <w:t xml:space="preserve"> 2015</w:t>
      </w:r>
      <w:r w:rsidR="002957C9" w:rsidRPr="00530963">
        <w:rPr>
          <w:lang w:val="ro-RO"/>
        </w:rPr>
        <w:t xml:space="preserve">.  </w:t>
      </w:r>
    </w:p>
    <w:p w:rsidR="00016E4F" w:rsidRPr="00530963" w:rsidRDefault="00016E4F" w:rsidP="00530963">
      <w:pPr>
        <w:spacing w:line="276" w:lineRule="auto"/>
        <w:jc w:val="both"/>
        <w:rPr>
          <w:lang w:val="ro-RO"/>
        </w:rPr>
      </w:pPr>
      <w:r w:rsidRPr="00530963">
        <w:rPr>
          <w:lang w:val="ro-RO"/>
        </w:rPr>
        <w:tab/>
        <w:t>Europa Creativă 2014 - 2020 este programul de finanţare al UE dedicat operatorilor din secto</w:t>
      </w:r>
      <w:r w:rsidR="00C213F2">
        <w:rPr>
          <w:lang w:val="ro-RO"/>
        </w:rPr>
        <w:t xml:space="preserve">arele culturale şi creative </w:t>
      </w:r>
      <w:r w:rsidR="00B15525">
        <w:rPr>
          <w:lang w:val="ro-RO"/>
        </w:rPr>
        <w:t>ce dispune de un</w:t>
      </w:r>
      <w:r w:rsidRPr="00530963">
        <w:rPr>
          <w:lang w:val="ro-RO"/>
        </w:rPr>
        <w:t xml:space="preserve"> buget de 1.46 </w:t>
      </w:r>
      <w:proofErr w:type="spellStart"/>
      <w:r w:rsidRPr="00530963">
        <w:rPr>
          <w:lang w:val="ro-RO"/>
        </w:rPr>
        <w:t>mlrd</w:t>
      </w:r>
      <w:proofErr w:type="spellEnd"/>
      <w:r w:rsidRPr="00530963">
        <w:rPr>
          <w:lang w:val="ro-RO"/>
        </w:rPr>
        <w:t xml:space="preserve"> euro și trei subprograme: </w:t>
      </w:r>
      <w:r w:rsidRPr="00530963">
        <w:rPr>
          <w:b/>
          <w:lang w:val="ro-RO"/>
        </w:rPr>
        <w:t>Media, Cultura</w:t>
      </w:r>
      <w:r w:rsidRPr="00530963">
        <w:rPr>
          <w:lang w:val="ro-RO"/>
        </w:rPr>
        <w:t xml:space="preserve"> şi o </w:t>
      </w:r>
      <w:r w:rsidRPr="00530963">
        <w:rPr>
          <w:b/>
          <w:lang w:val="ro-RO"/>
        </w:rPr>
        <w:t xml:space="preserve">componentă </w:t>
      </w:r>
      <w:proofErr w:type="spellStart"/>
      <w:r w:rsidRPr="00530963">
        <w:rPr>
          <w:b/>
          <w:lang w:val="ro-RO"/>
        </w:rPr>
        <w:t>transectorială</w:t>
      </w:r>
      <w:proofErr w:type="spellEnd"/>
      <w:r w:rsidRPr="00530963">
        <w:rPr>
          <w:lang w:val="ro-RO"/>
        </w:rPr>
        <w:t xml:space="preserve"> dedicată garantării creditelor bancare şi cooperării în domeniul politicilor culturale. </w:t>
      </w:r>
    </w:p>
    <w:p w:rsidR="00CC17E0" w:rsidRPr="00530963" w:rsidRDefault="00016E4F" w:rsidP="00530963">
      <w:pPr>
        <w:spacing w:line="276" w:lineRule="auto"/>
        <w:jc w:val="both"/>
        <w:rPr>
          <w:lang w:val="ro-RO"/>
        </w:rPr>
      </w:pPr>
      <w:r w:rsidRPr="00530963">
        <w:rPr>
          <w:lang w:val="ro-RO"/>
        </w:rPr>
        <w:tab/>
        <w:t>Operatorii sectoarelor</w:t>
      </w:r>
      <w:r w:rsidR="001E78B4" w:rsidRPr="00530963">
        <w:rPr>
          <w:lang w:val="ro-RO"/>
        </w:rPr>
        <w:t xml:space="preserve"> cultural</w:t>
      </w:r>
      <w:r w:rsidRPr="00530963">
        <w:rPr>
          <w:lang w:val="ro-RO"/>
        </w:rPr>
        <w:t>e și creative din Republica Moldova</w:t>
      </w:r>
      <w:r w:rsidR="001E78B4" w:rsidRPr="00530963">
        <w:rPr>
          <w:lang w:val="ro-RO"/>
        </w:rPr>
        <w:t xml:space="preserve"> vor avea posibil</w:t>
      </w:r>
      <w:r w:rsidR="00AF4649" w:rsidRPr="00530963">
        <w:rPr>
          <w:lang w:val="ro-RO"/>
        </w:rPr>
        <w:t>i</w:t>
      </w:r>
      <w:r w:rsidR="001E78B4" w:rsidRPr="00530963">
        <w:rPr>
          <w:lang w:val="ro-RO"/>
        </w:rPr>
        <w:t>tatea să aplice la liniile de finanţare ale programului începând cu toamna anului 2015</w:t>
      </w:r>
      <w:r w:rsidR="00CC17E0" w:rsidRPr="00530963">
        <w:rPr>
          <w:lang w:val="ro-RO"/>
        </w:rPr>
        <w:t>.</w:t>
      </w:r>
      <w:r w:rsidR="00FC5962" w:rsidRPr="00530963">
        <w:rPr>
          <w:lang w:val="ro-RO"/>
        </w:rPr>
        <w:t xml:space="preserve"> </w:t>
      </w:r>
      <w:r w:rsidR="001C5930" w:rsidRPr="00530963">
        <w:rPr>
          <w:lang w:val="ro-RO"/>
        </w:rPr>
        <w:t xml:space="preserve">Programul oferă mai multe </w:t>
      </w:r>
      <w:r w:rsidRPr="00530963">
        <w:rPr>
          <w:lang w:val="ro-RO"/>
        </w:rPr>
        <w:t xml:space="preserve">mecanisme </w:t>
      </w:r>
      <w:r w:rsidR="001C5930" w:rsidRPr="00530963">
        <w:rPr>
          <w:lang w:val="ro-RO"/>
        </w:rPr>
        <w:t>de finanțare menite să</w:t>
      </w:r>
      <w:r w:rsidR="00AF4649" w:rsidRPr="00530963">
        <w:rPr>
          <w:lang w:val="ro-RO"/>
        </w:rPr>
        <w:t xml:space="preserve"> încurajeze act</w:t>
      </w:r>
      <w:r w:rsidR="001C5930" w:rsidRPr="00530963">
        <w:rPr>
          <w:lang w:val="ro-RO"/>
        </w:rPr>
        <w:t xml:space="preserve">orii </w:t>
      </w:r>
      <w:r w:rsidRPr="00530963">
        <w:rPr>
          <w:lang w:val="ro-RO"/>
        </w:rPr>
        <w:t xml:space="preserve">implicați </w:t>
      </w:r>
      <w:r w:rsidR="001B03EE">
        <w:rPr>
          <w:lang w:val="ro-RO"/>
        </w:rPr>
        <w:t>pentru dinamizarea</w:t>
      </w:r>
      <w:r w:rsidRPr="00530963">
        <w:rPr>
          <w:lang w:val="ro-RO"/>
        </w:rPr>
        <w:t xml:space="preserve"> întreg</w:t>
      </w:r>
      <w:r w:rsidR="001B03EE">
        <w:rPr>
          <w:lang w:val="ro-RO"/>
        </w:rPr>
        <w:t>ului sector</w:t>
      </w:r>
      <w:r w:rsidRPr="00530963">
        <w:rPr>
          <w:lang w:val="ro-RO"/>
        </w:rPr>
        <w:t xml:space="preserve"> cultural. </w:t>
      </w:r>
    </w:p>
    <w:p w:rsidR="001C5930" w:rsidRPr="00530963" w:rsidRDefault="00016E4F" w:rsidP="00530963">
      <w:pPr>
        <w:spacing w:line="276" w:lineRule="auto"/>
        <w:jc w:val="both"/>
        <w:rPr>
          <w:lang w:val="ro-RO"/>
        </w:rPr>
      </w:pPr>
      <w:r w:rsidRPr="00530963">
        <w:rPr>
          <w:lang w:val="ro-RO"/>
        </w:rPr>
        <w:tab/>
      </w:r>
      <w:r w:rsidR="00B54255">
        <w:rPr>
          <w:lang w:val="ro-RO"/>
        </w:rPr>
        <w:t xml:space="preserve">Ținând cont de </w:t>
      </w:r>
      <w:r w:rsidR="00B54255" w:rsidRPr="00530963">
        <w:rPr>
          <w:lang w:val="ro-RO"/>
        </w:rPr>
        <w:t>competitiv</w:t>
      </w:r>
      <w:r w:rsidR="00B54255">
        <w:rPr>
          <w:lang w:val="ro-RO"/>
        </w:rPr>
        <w:t xml:space="preserve">itate sporită </w:t>
      </w:r>
      <w:r w:rsidR="00C213F2">
        <w:rPr>
          <w:lang w:val="ro-RO"/>
        </w:rPr>
        <w:t>în cadrul</w:t>
      </w:r>
      <w:r w:rsidR="0027575F">
        <w:rPr>
          <w:lang w:val="ro-RO"/>
        </w:rPr>
        <w:t xml:space="preserve"> </w:t>
      </w:r>
      <w:r w:rsidRPr="00530963">
        <w:rPr>
          <w:lang w:val="ro-RO"/>
        </w:rPr>
        <w:t>P</w:t>
      </w:r>
      <w:r w:rsidR="001C5930" w:rsidRPr="00530963">
        <w:rPr>
          <w:lang w:val="ro-RO"/>
        </w:rPr>
        <w:t>rogramul</w:t>
      </w:r>
      <w:r w:rsidR="00C213F2">
        <w:rPr>
          <w:lang w:val="ro-RO"/>
        </w:rPr>
        <w:t>ui</w:t>
      </w:r>
      <w:r w:rsidR="001C5930" w:rsidRPr="00530963">
        <w:rPr>
          <w:lang w:val="ro-RO"/>
        </w:rPr>
        <w:t xml:space="preserve"> Europa Creativă</w:t>
      </w:r>
      <w:r w:rsidR="00B54255">
        <w:rPr>
          <w:lang w:val="ro-RO"/>
        </w:rPr>
        <w:t>,</w:t>
      </w:r>
      <w:r w:rsidR="001C5930" w:rsidRPr="00530963">
        <w:rPr>
          <w:lang w:val="ro-RO"/>
        </w:rPr>
        <w:t xml:space="preserve"> </w:t>
      </w:r>
      <w:r w:rsidR="00B54255">
        <w:rPr>
          <w:lang w:val="ro-RO"/>
        </w:rPr>
        <w:t xml:space="preserve">însușirea tehnicilor de aplicare devine un imperativ pentru reușita viitoarelor proiecte. </w:t>
      </w:r>
    </w:p>
    <w:p w:rsidR="00264FA0" w:rsidRPr="00530963" w:rsidRDefault="00016E4F" w:rsidP="00530963">
      <w:pPr>
        <w:spacing w:line="276" w:lineRule="auto"/>
        <w:jc w:val="both"/>
        <w:rPr>
          <w:lang w:val="ro-RO"/>
        </w:rPr>
      </w:pPr>
      <w:r w:rsidRPr="00530963">
        <w:rPr>
          <w:lang w:val="ro-RO"/>
        </w:rPr>
        <w:tab/>
      </w:r>
      <w:r w:rsidR="00AF4649" w:rsidRPr="00530963">
        <w:rPr>
          <w:lang w:val="ro-RO"/>
        </w:rPr>
        <w:t xml:space="preserve">Acest workshop </w:t>
      </w:r>
      <w:r w:rsidR="00697ED2" w:rsidRPr="00530963">
        <w:rPr>
          <w:lang w:val="ro-RO"/>
        </w:rPr>
        <w:t xml:space="preserve">va fi coordonat de experţii </w:t>
      </w:r>
      <w:proofErr w:type="spellStart"/>
      <w:r w:rsidR="00264FA0" w:rsidRPr="00530963">
        <w:rPr>
          <w:b/>
          <w:i/>
          <w:lang w:val="ro-RO"/>
        </w:rPr>
        <w:t>Relais</w:t>
      </w:r>
      <w:proofErr w:type="spellEnd"/>
      <w:r w:rsidR="00264FA0" w:rsidRPr="00530963">
        <w:rPr>
          <w:b/>
          <w:i/>
          <w:lang w:val="ro-RO"/>
        </w:rPr>
        <w:t xml:space="preserve"> </w:t>
      </w:r>
      <w:proofErr w:type="spellStart"/>
      <w:r w:rsidR="00264FA0" w:rsidRPr="00530963">
        <w:rPr>
          <w:b/>
          <w:i/>
          <w:lang w:val="ro-RO"/>
        </w:rPr>
        <w:t>culture</w:t>
      </w:r>
      <w:proofErr w:type="spellEnd"/>
      <w:r w:rsidR="00264FA0" w:rsidRPr="00530963">
        <w:rPr>
          <w:b/>
          <w:i/>
          <w:lang w:val="ro-RO"/>
        </w:rPr>
        <w:t xml:space="preserve"> Europe</w:t>
      </w:r>
      <w:r w:rsidR="00264FA0" w:rsidRPr="00530963">
        <w:rPr>
          <w:lang w:val="ro-RO"/>
        </w:rPr>
        <w:t xml:space="preserve">, </w:t>
      </w:r>
      <w:r w:rsidR="00AF4649" w:rsidRPr="00530963">
        <w:rPr>
          <w:lang w:val="ro-RO"/>
        </w:rPr>
        <w:t xml:space="preserve">punctul de contact al Programului Europa Creativă din Franţa. </w:t>
      </w:r>
      <w:proofErr w:type="spellStart"/>
      <w:r w:rsidR="00264FA0" w:rsidRPr="00530963">
        <w:rPr>
          <w:b/>
          <w:i/>
          <w:lang w:val="ro-RO"/>
        </w:rPr>
        <w:t>Relais</w:t>
      </w:r>
      <w:proofErr w:type="spellEnd"/>
      <w:r w:rsidR="00264FA0" w:rsidRPr="00530963">
        <w:rPr>
          <w:b/>
          <w:i/>
          <w:lang w:val="ro-RO"/>
        </w:rPr>
        <w:t xml:space="preserve"> </w:t>
      </w:r>
      <w:proofErr w:type="spellStart"/>
      <w:r w:rsidR="00264FA0" w:rsidRPr="00530963">
        <w:rPr>
          <w:b/>
          <w:i/>
          <w:lang w:val="ro-RO"/>
        </w:rPr>
        <w:t>culture</w:t>
      </w:r>
      <w:proofErr w:type="spellEnd"/>
      <w:r w:rsidR="00264FA0" w:rsidRPr="00530963">
        <w:rPr>
          <w:b/>
          <w:i/>
          <w:lang w:val="ro-RO"/>
        </w:rPr>
        <w:t xml:space="preserve"> Europe</w:t>
      </w:r>
      <w:r w:rsidR="00264FA0" w:rsidRPr="00530963">
        <w:rPr>
          <w:lang w:val="ro-RO"/>
        </w:rPr>
        <w:t xml:space="preserve"> </w:t>
      </w:r>
      <w:r w:rsidR="00AF4649" w:rsidRPr="00530963">
        <w:rPr>
          <w:lang w:val="ro-RO"/>
        </w:rPr>
        <w:t>oferă consultanță și instruire cu privire la politicile și programele UE de s</w:t>
      </w:r>
      <w:r w:rsidR="004F2634" w:rsidRPr="00530963">
        <w:rPr>
          <w:lang w:val="ro-RO"/>
        </w:rPr>
        <w:t>usținere</w:t>
      </w:r>
      <w:r w:rsidR="00AF4649" w:rsidRPr="00530963">
        <w:rPr>
          <w:lang w:val="ro-RO"/>
        </w:rPr>
        <w:t xml:space="preserve"> a sectorului cultural pentru toate instituțiile</w:t>
      </w:r>
      <w:r w:rsidR="004F2634" w:rsidRPr="00530963">
        <w:rPr>
          <w:lang w:val="ro-RO"/>
        </w:rPr>
        <w:t xml:space="preserve"> și operatori culturali din Franța.</w:t>
      </w:r>
    </w:p>
    <w:p w:rsidR="00530963" w:rsidRPr="00530963" w:rsidRDefault="00530963" w:rsidP="00530963">
      <w:pPr>
        <w:spacing w:line="276" w:lineRule="auto"/>
        <w:jc w:val="both"/>
        <w:rPr>
          <w:lang w:val="ro-RO"/>
        </w:rPr>
      </w:pPr>
      <w:r w:rsidRPr="00530963">
        <w:rPr>
          <w:lang w:val="ro-RO"/>
        </w:rPr>
        <w:tab/>
      </w:r>
      <w:r w:rsidR="001B03EE" w:rsidRPr="00530963">
        <w:rPr>
          <w:lang w:val="ro-RO"/>
        </w:rPr>
        <w:t>Reieșind</w:t>
      </w:r>
      <w:r w:rsidRPr="00530963">
        <w:rPr>
          <w:lang w:val="ro-RO"/>
        </w:rPr>
        <w:t xml:space="preserve"> din cele menționate, vă rugăm</w:t>
      </w:r>
      <w:r w:rsidR="00C213F2">
        <w:rPr>
          <w:lang w:val="ro-RO"/>
        </w:rPr>
        <w:t xml:space="preserve"> să confirmați participarea </w:t>
      </w:r>
      <w:proofErr w:type="spellStart"/>
      <w:r w:rsidR="00C213F2">
        <w:rPr>
          <w:lang w:val="ro-RO"/>
        </w:rPr>
        <w:t>dv</w:t>
      </w:r>
      <w:r w:rsidRPr="00530963">
        <w:rPr>
          <w:lang w:val="ro-RO"/>
        </w:rPr>
        <w:t>stră</w:t>
      </w:r>
      <w:proofErr w:type="spellEnd"/>
      <w:r w:rsidRPr="00530963">
        <w:rPr>
          <w:lang w:val="ro-RO"/>
        </w:rPr>
        <w:t xml:space="preserve"> până la data de 25 iunie 2015 la adresa </w:t>
      </w:r>
      <w:hyperlink r:id="rId12" w:history="1">
        <w:r w:rsidRPr="00530963">
          <w:rPr>
            <w:rStyle w:val="a7"/>
            <w:lang w:val="ro-RO"/>
          </w:rPr>
          <w:t>vasile.botan@mc.gov.md</w:t>
        </w:r>
      </w:hyperlink>
      <w:r w:rsidRPr="00530963">
        <w:rPr>
          <w:lang w:val="ro-RO"/>
        </w:rPr>
        <w:t xml:space="preserve"> sau </w:t>
      </w:r>
      <w:hyperlink r:id="rId13" w:history="1">
        <w:r w:rsidRPr="00530963">
          <w:rPr>
            <w:rStyle w:val="a7"/>
            <w:lang w:val="ro-RO"/>
          </w:rPr>
          <w:t>sergiu.botolin@mc.gov.md</w:t>
        </w:r>
      </w:hyperlink>
      <w:r w:rsidRPr="00530963">
        <w:rPr>
          <w:lang w:val="ro-RO"/>
        </w:rPr>
        <w:t>.</w:t>
      </w:r>
    </w:p>
    <w:p w:rsidR="00530963" w:rsidRPr="00530963" w:rsidRDefault="00530963" w:rsidP="00530963">
      <w:pPr>
        <w:spacing w:line="276" w:lineRule="auto"/>
        <w:jc w:val="both"/>
        <w:rPr>
          <w:lang w:val="ro-RO"/>
        </w:rPr>
      </w:pPr>
      <w:r w:rsidRPr="00530963">
        <w:rPr>
          <w:lang w:val="ro-RO"/>
        </w:rPr>
        <w:tab/>
        <w:t xml:space="preserve">Pentru mai multe detalii ne puteți contacta la numerele de telefon: (022) 278 497 și (022) 232 204. </w:t>
      </w:r>
    </w:p>
    <w:p w:rsidR="00530963" w:rsidRPr="001B03EE" w:rsidRDefault="00530963" w:rsidP="00530963">
      <w:pPr>
        <w:spacing w:line="276" w:lineRule="auto"/>
        <w:rPr>
          <w:rFonts w:eastAsia="Times New Roman"/>
          <w:lang w:val="ro-RO" w:eastAsia="ru-RU"/>
        </w:rPr>
      </w:pPr>
      <w:r w:rsidRPr="00530963">
        <w:rPr>
          <w:rFonts w:eastAsia="Times New Roman"/>
          <w:lang w:val="ro-RO" w:eastAsia="ru-RU"/>
        </w:rPr>
        <w:tab/>
      </w:r>
    </w:p>
    <w:p w:rsidR="00530963" w:rsidRPr="001B03EE" w:rsidRDefault="00530963" w:rsidP="00530963">
      <w:pPr>
        <w:spacing w:line="276" w:lineRule="auto"/>
        <w:rPr>
          <w:rFonts w:eastAsia="Times New Roman"/>
          <w:lang w:val="ro-RO" w:eastAsia="ru-RU"/>
        </w:rPr>
      </w:pPr>
      <w:r w:rsidRPr="001B03EE">
        <w:rPr>
          <w:rFonts w:eastAsia="Times New Roman"/>
          <w:lang w:val="ro-RO" w:eastAsia="ru-RU"/>
        </w:rPr>
        <w:tab/>
      </w:r>
    </w:p>
    <w:p w:rsidR="009A720B" w:rsidRDefault="009A720B">
      <w:pPr>
        <w:rPr>
          <w:u w:val="single"/>
          <w:lang w:val="ro-RO"/>
        </w:rPr>
      </w:pPr>
    </w:p>
    <w:p w:rsidR="009A720B" w:rsidRDefault="009A720B">
      <w:pPr>
        <w:rPr>
          <w:u w:val="single"/>
          <w:lang w:val="ro-RO"/>
        </w:rPr>
      </w:pPr>
    </w:p>
    <w:p w:rsidR="009A720B" w:rsidRDefault="009A720B">
      <w:pPr>
        <w:rPr>
          <w:u w:val="single"/>
          <w:lang w:val="ro-RO"/>
        </w:rPr>
      </w:pPr>
    </w:p>
    <w:p w:rsidR="009A720B" w:rsidRDefault="009A720B">
      <w:pPr>
        <w:rPr>
          <w:u w:val="single"/>
          <w:lang w:val="ro-RO"/>
        </w:rPr>
      </w:pPr>
    </w:p>
    <w:p w:rsidR="00C213F2" w:rsidRDefault="00C213F2">
      <w:pPr>
        <w:rPr>
          <w:lang w:val="ro-RO"/>
        </w:rPr>
      </w:pPr>
    </w:p>
    <w:p w:rsidR="00C213F2" w:rsidRPr="008B3760" w:rsidRDefault="00C213F2">
      <w:pPr>
        <w:rPr>
          <w:lang w:val="ro-RO"/>
        </w:rPr>
      </w:pPr>
    </w:p>
    <w:p w:rsidR="008927E4" w:rsidRPr="008B3760" w:rsidRDefault="008927E4">
      <w:pPr>
        <w:rPr>
          <w:lang w:val="ro-RO"/>
        </w:rPr>
      </w:pPr>
    </w:p>
    <w:p w:rsidR="00264FA0" w:rsidRPr="008B3760" w:rsidRDefault="00DF4E3F">
      <w:pPr>
        <w:rPr>
          <w:b/>
          <w:u w:val="single"/>
          <w:lang w:val="ro-RO"/>
        </w:rPr>
      </w:pPr>
      <w:r w:rsidRPr="008B3760">
        <w:rPr>
          <w:b/>
          <w:u w:val="single"/>
          <w:lang w:val="ro-RO"/>
        </w:rPr>
        <w:t>Program</w:t>
      </w:r>
    </w:p>
    <w:p w:rsidR="00264FA0" w:rsidRPr="008B3760" w:rsidRDefault="00264FA0">
      <w:pPr>
        <w:rPr>
          <w:lang w:val="ro-RO"/>
        </w:rPr>
      </w:pPr>
    </w:p>
    <w:p w:rsidR="00264FA0" w:rsidRPr="008B3760" w:rsidRDefault="00DF4E3F">
      <w:pPr>
        <w:rPr>
          <w:lang w:val="ro-RO"/>
        </w:rPr>
      </w:pPr>
      <w:r w:rsidRPr="008B3760">
        <w:rPr>
          <w:lang w:val="ro-RO"/>
        </w:rPr>
        <w:t>Locaţia</w:t>
      </w:r>
      <w:r w:rsidR="00264FA0" w:rsidRPr="008B3760">
        <w:rPr>
          <w:lang w:val="ro-RO"/>
        </w:rPr>
        <w:t xml:space="preserve"> : Ginta Latina/</w:t>
      </w:r>
      <w:r w:rsidRPr="008B3760">
        <w:rPr>
          <w:lang w:val="ro-RO"/>
        </w:rPr>
        <w:t>Alianţa Franceză</w:t>
      </w:r>
    </w:p>
    <w:p w:rsidR="00264FA0" w:rsidRPr="008B3760" w:rsidRDefault="00264FA0">
      <w:pPr>
        <w:rPr>
          <w:lang w:val="ro-RO"/>
        </w:rPr>
      </w:pPr>
    </w:p>
    <w:p w:rsidR="00264FA0" w:rsidRPr="008B3760" w:rsidRDefault="00DF4E3F">
      <w:pPr>
        <w:rPr>
          <w:b/>
          <w:u w:val="single"/>
          <w:lang w:val="ro-RO"/>
        </w:rPr>
      </w:pPr>
      <w:r w:rsidRPr="008B3760">
        <w:rPr>
          <w:b/>
          <w:u w:val="single"/>
          <w:lang w:val="ro-RO"/>
        </w:rPr>
        <w:t>30 iunie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3"/>
        <w:gridCol w:w="8445"/>
      </w:tblGrid>
      <w:tr w:rsidR="0022770F" w:rsidTr="009F786B">
        <w:tc>
          <w:tcPr>
            <w:tcW w:w="843" w:type="dxa"/>
            <w:shd w:val="clear" w:color="auto" w:fill="F2F2F2" w:themeFill="background1" w:themeFillShade="F2"/>
          </w:tcPr>
          <w:p w:rsidR="0022770F" w:rsidRDefault="0022770F" w:rsidP="0033638D">
            <w:r w:rsidRPr="008B3760">
              <w:rPr>
                <w:lang w:val="ro-RO"/>
              </w:rPr>
              <w:t>09:</w:t>
            </w:r>
            <w:r w:rsidRPr="009F786B">
              <w:rPr>
                <w:lang w:val="ro-RO"/>
              </w:rPr>
              <w:t>00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:rsidR="0022770F" w:rsidRDefault="00F00D45" w:rsidP="0033638D">
            <w:r>
              <w:rPr>
                <w:lang w:val="ro-RO"/>
              </w:rPr>
              <w:t>Î</w:t>
            </w:r>
            <w:r w:rsidR="0022770F" w:rsidRPr="008B3760">
              <w:rPr>
                <w:lang w:val="ro-RO"/>
              </w:rPr>
              <w:t>nregistrarea participanţilor</w:t>
            </w:r>
          </w:p>
        </w:tc>
      </w:tr>
      <w:tr w:rsidR="0022770F" w:rsidTr="009F786B">
        <w:trPr>
          <w:trHeight w:val="201"/>
        </w:trPr>
        <w:tc>
          <w:tcPr>
            <w:tcW w:w="843" w:type="dxa"/>
            <w:vMerge w:val="restart"/>
            <w:shd w:val="clear" w:color="auto" w:fill="F2F2F2" w:themeFill="background1" w:themeFillShade="F2"/>
          </w:tcPr>
          <w:p w:rsidR="0022770F" w:rsidRDefault="0022770F" w:rsidP="0033638D">
            <w:r w:rsidRPr="008B3760">
              <w:rPr>
                <w:lang w:val="ro-RO"/>
              </w:rPr>
              <w:t>09:30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:rsidR="0022770F" w:rsidRDefault="0022770F" w:rsidP="0033638D">
            <w:r w:rsidRPr="008B3760">
              <w:rPr>
                <w:lang w:val="ro-RO"/>
              </w:rPr>
              <w:t>Deschiderea atelierului de lucru</w:t>
            </w:r>
          </w:p>
        </w:tc>
      </w:tr>
      <w:tr w:rsidR="0022770F" w:rsidTr="009F786B">
        <w:trPr>
          <w:trHeight w:val="2009"/>
        </w:trPr>
        <w:tc>
          <w:tcPr>
            <w:tcW w:w="843" w:type="dxa"/>
            <w:vMerge/>
            <w:shd w:val="clear" w:color="auto" w:fill="F2F2F2" w:themeFill="background1" w:themeFillShade="F2"/>
          </w:tcPr>
          <w:p w:rsidR="0022770F" w:rsidRPr="008B3760" w:rsidRDefault="0022770F" w:rsidP="0033638D">
            <w:pPr>
              <w:rPr>
                <w:lang w:val="ro-RO"/>
              </w:rPr>
            </w:pPr>
          </w:p>
        </w:tc>
        <w:tc>
          <w:tcPr>
            <w:tcW w:w="8445" w:type="dxa"/>
          </w:tcPr>
          <w:p w:rsidR="0022770F" w:rsidRPr="009F786B" w:rsidRDefault="0022770F" w:rsidP="009F786B">
            <w:pPr>
              <w:pStyle w:val="a6"/>
              <w:numPr>
                <w:ilvl w:val="0"/>
                <w:numId w:val="2"/>
              </w:numPr>
              <w:rPr>
                <w:lang w:val="ro-RO"/>
              </w:rPr>
            </w:pPr>
            <w:r w:rsidRPr="009F786B">
              <w:rPr>
                <w:lang w:val="ro-RO"/>
              </w:rPr>
              <w:t xml:space="preserve">Cuvânt de salut din partea Ministerului Culturii din Republica Moldova  </w:t>
            </w:r>
          </w:p>
          <w:p w:rsidR="0022770F" w:rsidRPr="009F786B" w:rsidRDefault="0022770F" w:rsidP="009F786B">
            <w:pPr>
              <w:pStyle w:val="a6"/>
              <w:numPr>
                <w:ilvl w:val="0"/>
                <w:numId w:val="2"/>
              </w:numPr>
              <w:rPr>
                <w:lang w:val="ro-RO"/>
              </w:rPr>
            </w:pPr>
            <w:r w:rsidRPr="009F786B">
              <w:rPr>
                <w:lang w:val="ro-RO"/>
              </w:rPr>
              <w:t xml:space="preserve">Cuvânt de salut din partea E. S. Dl  Pascal </w:t>
            </w:r>
            <w:proofErr w:type="spellStart"/>
            <w:r w:rsidRPr="009F786B">
              <w:rPr>
                <w:lang w:val="ro-RO"/>
              </w:rPr>
              <w:t>Vagogne</w:t>
            </w:r>
            <w:proofErr w:type="spellEnd"/>
            <w:r w:rsidRPr="009F786B">
              <w:rPr>
                <w:lang w:val="ro-RO"/>
              </w:rPr>
              <w:t xml:space="preserve">, Ambasador al Franţei în          Republica Moldova </w:t>
            </w:r>
          </w:p>
          <w:p w:rsidR="0022770F" w:rsidRPr="009F786B" w:rsidRDefault="0022770F" w:rsidP="009F786B">
            <w:pPr>
              <w:pStyle w:val="a6"/>
              <w:numPr>
                <w:ilvl w:val="0"/>
                <w:numId w:val="2"/>
              </w:numPr>
              <w:rPr>
                <w:lang w:val="ro-RO"/>
              </w:rPr>
            </w:pPr>
            <w:r w:rsidRPr="009F786B">
              <w:rPr>
                <w:lang w:val="ro-RO"/>
              </w:rPr>
              <w:t xml:space="preserve">Cuvânt de salut din partea Dlui </w:t>
            </w:r>
            <w:proofErr w:type="spellStart"/>
            <w:r w:rsidRPr="009F786B">
              <w:rPr>
                <w:lang w:val="ro-RO"/>
              </w:rPr>
              <w:t>Fabien</w:t>
            </w:r>
            <w:proofErr w:type="spellEnd"/>
            <w:r w:rsidRPr="009F786B">
              <w:rPr>
                <w:lang w:val="ro-RO"/>
              </w:rPr>
              <w:t xml:space="preserve"> </w:t>
            </w:r>
            <w:proofErr w:type="spellStart"/>
            <w:r w:rsidRPr="009F786B">
              <w:rPr>
                <w:lang w:val="ro-RO"/>
              </w:rPr>
              <w:t>Schaeffer</w:t>
            </w:r>
            <w:proofErr w:type="spellEnd"/>
            <w:r w:rsidRPr="009F786B">
              <w:rPr>
                <w:lang w:val="ro-RO"/>
              </w:rPr>
              <w:t>, Delegaţia Europeana la Chişinău</w:t>
            </w:r>
          </w:p>
          <w:p w:rsidR="0022770F" w:rsidRDefault="0022770F" w:rsidP="0033638D">
            <w:pPr>
              <w:rPr>
                <w:lang w:val="ro-RO"/>
              </w:rPr>
            </w:pPr>
          </w:p>
          <w:p w:rsidR="0022770F" w:rsidRPr="008B3760" w:rsidRDefault="0022770F" w:rsidP="0033638D">
            <w:pPr>
              <w:rPr>
                <w:lang w:val="ro-RO"/>
              </w:rPr>
            </w:pPr>
          </w:p>
        </w:tc>
      </w:tr>
      <w:tr w:rsidR="0022770F" w:rsidRPr="00C6428D" w:rsidTr="009F786B">
        <w:tc>
          <w:tcPr>
            <w:tcW w:w="843" w:type="dxa"/>
            <w:vMerge w:val="restart"/>
            <w:shd w:val="clear" w:color="auto" w:fill="F2F2F2" w:themeFill="background1" w:themeFillShade="F2"/>
          </w:tcPr>
          <w:p w:rsidR="0022770F" w:rsidRDefault="0022770F" w:rsidP="0033638D">
            <w:r w:rsidRPr="008B3760">
              <w:rPr>
                <w:lang w:val="ro-RO"/>
              </w:rPr>
              <w:t>10:00-12:30: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:rsidR="0022770F" w:rsidRPr="005E5C09" w:rsidRDefault="0022770F" w:rsidP="007A308C">
            <w:pPr>
              <w:rPr>
                <w:lang w:val="en-US"/>
              </w:rPr>
            </w:pPr>
            <w:r w:rsidRPr="008B3760">
              <w:rPr>
                <w:lang w:val="ro-RO"/>
              </w:rPr>
              <w:t xml:space="preserve">Sesiunea 1 – </w:t>
            </w:r>
            <w:r w:rsidR="007A308C">
              <w:rPr>
                <w:lang w:val="ro-RO"/>
              </w:rPr>
              <w:t>Asimilarea</w:t>
            </w:r>
            <w:r w:rsidR="00D36228">
              <w:rPr>
                <w:lang w:val="ro-RO"/>
              </w:rPr>
              <w:t xml:space="preserve"> cerințelor P</w:t>
            </w:r>
            <w:r w:rsidRPr="008B3760">
              <w:rPr>
                <w:lang w:val="ro-RO"/>
              </w:rPr>
              <w:t>rogramului Europa Creativă</w:t>
            </w:r>
          </w:p>
        </w:tc>
      </w:tr>
      <w:tr w:rsidR="0022770F" w:rsidRPr="005E5C09" w:rsidTr="009F786B">
        <w:tc>
          <w:tcPr>
            <w:tcW w:w="843" w:type="dxa"/>
            <w:vMerge/>
            <w:shd w:val="clear" w:color="auto" w:fill="F2F2F2" w:themeFill="background1" w:themeFillShade="F2"/>
          </w:tcPr>
          <w:p w:rsidR="0022770F" w:rsidRPr="005E5C09" w:rsidRDefault="0022770F" w:rsidP="0033638D">
            <w:pPr>
              <w:rPr>
                <w:lang w:val="en-US"/>
              </w:rPr>
            </w:pPr>
          </w:p>
        </w:tc>
        <w:tc>
          <w:tcPr>
            <w:tcW w:w="8445" w:type="dxa"/>
          </w:tcPr>
          <w:p w:rsidR="0022770F" w:rsidRPr="008B3760" w:rsidRDefault="0022770F" w:rsidP="0033638D">
            <w:pPr>
              <w:pStyle w:val="a6"/>
              <w:numPr>
                <w:ilvl w:val="0"/>
                <w:numId w:val="1"/>
              </w:numPr>
              <w:rPr>
                <w:lang w:val="ro-RO"/>
              </w:rPr>
            </w:pPr>
            <w:r w:rsidRPr="008B3760">
              <w:rPr>
                <w:lang w:val="ro-RO"/>
              </w:rPr>
              <w:t>Scheme de Finanţare;</w:t>
            </w:r>
          </w:p>
          <w:p w:rsidR="0022770F" w:rsidRPr="008B3760" w:rsidRDefault="0022770F" w:rsidP="0033638D">
            <w:pPr>
              <w:pStyle w:val="a6"/>
              <w:numPr>
                <w:ilvl w:val="0"/>
                <w:numId w:val="1"/>
              </w:numPr>
              <w:rPr>
                <w:lang w:val="ro-RO"/>
              </w:rPr>
            </w:pPr>
            <w:r w:rsidRPr="008B3760">
              <w:rPr>
                <w:lang w:val="ro-RO"/>
              </w:rPr>
              <w:t>Integrarea în reţeaua europeană</w:t>
            </w:r>
          </w:p>
          <w:p w:rsidR="0022770F" w:rsidRPr="0059117A" w:rsidRDefault="0022770F" w:rsidP="0033638D">
            <w:pPr>
              <w:pStyle w:val="a6"/>
              <w:numPr>
                <w:ilvl w:val="0"/>
                <w:numId w:val="1"/>
              </w:numPr>
              <w:rPr>
                <w:lang w:val="ro-RO"/>
              </w:rPr>
            </w:pPr>
            <w:r w:rsidRPr="008B3760">
              <w:rPr>
                <w:lang w:val="ro-RO"/>
              </w:rPr>
              <w:t>Adaptarea sectorului cultural, creativ şi mass-media la procesul de globalizare digitalizare.</w:t>
            </w:r>
          </w:p>
        </w:tc>
      </w:tr>
      <w:tr w:rsidR="0022770F" w:rsidRPr="005E5C09" w:rsidTr="009F786B">
        <w:tc>
          <w:tcPr>
            <w:tcW w:w="843" w:type="dxa"/>
            <w:shd w:val="clear" w:color="auto" w:fill="F2F2F2" w:themeFill="background1" w:themeFillShade="F2"/>
          </w:tcPr>
          <w:p w:rsidR="0022770F" w:rsidRPr="005E5C09" w:rsidRDefault="0022770F" w:rsidP="0033638D">
            <w:pPr>
              <w:rPr>
                <w:lang w:val="en-US"/>
              </w:rPr>
            </w:pPr>
            <w:r w:rsidRPr="008B3760">
              <w:rPr>
                <w:lang w:val="ro-RO"/>
              </w:rPr>
              <w:t>12:30-13:30</w:t>
            </w:r>
          </w:p>
        </w:tc>
        <w:tc>
          <w:tcPr>
            <w:tcW w:w="8445" w:type="dxa"/>
          </w:tcPr>
          <w:p w:rsidR="0022770F" w:rsidRPr="0059117A" w:rsidRDefault="00F00D45" w:rsidP="0059117A">
            <w:pPr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="0022770F" w:rsidRPr="008B3760">
              <w:rPr>
                <w:lang w:val="ro-RO"/>
              </w:rPr>
              <w:t xml:space="preserve">auza </w:t>
            </w:r>
            <w:r w:rsidR="0059117A">
              <w:rPr>
                <w:lang w:val="ro-RO"/>
              </w:rPr>
              <w:t>de masă</w:t>
            </w:r>
          </w:p>
        </w:tc>
      </w:tr>
      <w:tr w:rsidR="0022770F" w:rsidRPr="00C6428D" w:rsidTr="009F786B">
        <w:tc>
          <w:tcPr>
            <w:tcW w:w="843" w:type="dxa"/>
            <w:vMerge w:val="restart"/>
            <w:shd w:val="clear" w:color="auto" w:fill="F2F2F2" w:themeFill="background1" w:themeFillShade="F2"/>
          </w:tcPr>
          <w:p w:rsidR="0022770F" w:rsidRPr="005E5C09" w:rsidRDefault="0022770F" w:rsidP="0033638D">
            <w:pPr>
              <w:rPr>
                <w:lang w:val="en-US"/>
              </w:rPr>
            </w:pPr>
            <w:r w:rsidRPr="008B3760">
              <w:rPr>
                <w:lang w:val="ro-RO"/>
              </w:rPr>
              <w:t>13:30-16:00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:rsidR="0022770F" w:rsidRPr="005E5C09" w:rsidRDefault="0022770F" w:rsidP="007A308C">
            <w:pPr>
              <w:rPr>
                <w:lang w:val="en-US"/>
              </w:rPr>
            </w:pPr>
            <w:r w:rsidRPr="008B3760">
              <w:rPr>
                <w:lang w:val="ro-RO"/>
              </w:rPr>
              <w:t>Sesiunea 2</w:t>
            </w:r>
            <w:r w:rsidR="009376F9">
              <w:rPr>
                <w:lang w:val="ro-RO"/>
              </w:rPr>
              <w:t xml:space="preserve"> - </w:t>
            </w:r>
            <w:r w:rsidR="007A308C">
              <w:rPr>
                <w:lang w:val="ro-RO"/>
              </w:rPr>
              <w:t>Asimilarea</w:t>
            </w:r>
            <w:r w:rsidR="00D36228">
              <w:rPr>
                <w:lang w:val="ro-RO"/>
              </w:rPr>
              <w:t xml:space="preserve"> cerințelor P</w:t>
            </w:r>
            <w:r w:rsidR="009376F9" w:rsidRPr="008B3760">
              <w:rPr>
                <w:lang w:val="ro-RO"/>
              </w:rPr>
              <w:t>rogramului Europa Creativă</w:t>
            </w:r>
          </w:p>
        </w:tc>
      </w:tr>
      <w:tr w:rsidR="0022770F" w:rsidRPr="005E5C09" w:rsidTr="009F786B">
        <w:tc>
          <w:tcPr>
            <w:tcW w:w="843" w:type="dxa"/>
            <w:vMerge/>
            <w:shd w:val="clear" w:color="auto" w:fill="F2F2F2" w:themeFill="background1" w:themeFillShade="F2"/>
          </w:tcPr>
          <w:p w:rsidR="0022770F" w:rsidRPr="005E5C09" w:rsidRDefault="0022770F" w:rsidP="0033638D">
            <w:pPr>
              <w:rPr>
                <w:lang w:val="en-US"/>
              </w:rPr>
            </w:pPr>
          </w:p>
        </w:tc>
        <w:tc>
          <w:tcPr>
            <w:tcW w:w="8445" w:type="dxa"/>
          </w:tcPr>
          <w:p w:rsidR="0022770F" w:rsidRPr="008B3760" w:rsidRDefault="0022770F" w:rsidP="0033638D">
            <w:pPr>
              <w:pStyle w:val="a6"/>
              <w:numPr>
                <w:ilvl w:val="0"/>
                <w:numId w:val="1"/>
              </w:numPr>
              <w:rPr>
                <w:lang w:val="ro-RO"/>
              </w:rPr>
            </w:pPr>
            <w:r w:rsidRPr="008B3760">
              <w:rPr>
                <w:lang w:val="ro-RO"/>
              </w:rPr>
              <w:t xml:space="preserve">Exemple concrete de proiecte franceze de succes </w:t>
            </w:r>
          </w:p>
          <w:p w:rsidR="0022770F" w:rsidRPr="008B3760" w:rsidRDefault="0022770F" w:rsidP="0033638D">
            <w:pPr>
              <w:pStyle w:val="a6"/>
              <w:numPr>
                <w:ilvl w:val="0"/>
                <w:numId w:val="1"/>
              </w:numPr>
              <w:rPr>
                <w:lang w:val="ro-RO"/>
              </w:rPr>
            </w:pPr>
            <w:r w:rsidRPr="008B3760">
              <w:rPr>
                <w:lang w:val="ro-RO"/>
              </w:rPr>
              <w:t>Întrebări şi răspunsuri.</w:t>
            </w:r>
          </w:p>
          <w:p w:rsidR="0022770F" w:rsidRPr="005E5C09" w:rsidRDefault="0022770F" w:rsidP="0033638D">
            <w:pPr>
              <w:rPr>
                <w:lang w:val="en-US"/>
              </w:rPr>
            </w:pPr>
          </w:p>
        </w:tc>
      </w:tr>
    </w:tbl>
    <w:p w:rsidR="008927E4" w:rsidRPr="008B3760" w:rsidRDefault="008927E4" w:rsidP="008927E4">
      <w:pPr>
        <w:rPr>
          <w:lang w:val="ro-RO"/>
        </w:rPr>
      </w:pPr>
    </w:p>
    <w:p w:rsidR="002D6EE3" w:rsidRDefault="008B3760">
      <w:pPr>
        <w:rPr>
          <w:b/>
          <w:u w:val="single"/>
          <w:lang w:val="ro-RO"/>
        </w:rPr>
      </w:pPr>
      <w:r w:rsidRPr="008B3760">
        <w:rPr>
          <w:b/>
          <w:u w:val="single"/>
          <w:lang w:val="ro-RO"/>
        </w:rPr>
        <w:t>1 iulie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3"/>
        <w:gridCol w:w="8445"/>
      </w:tblGrid>
      <w:tr w:rsidR="0059117A" w:rsidTr="00F00D45">
        <w:trPr>
          <w:trHeight w:val="201"/>
        </w:trPr>
        <w:tc>
          <w:tcPr>
            <w:tcW w:w="843" w:type="dxa"/>
            <w:vMerge w:val="restart"/>
            <w:shd w:val="clear" w:color="auto" w:fill="F2F2F2" w:themeFill="background1" w:themeFillShade="F2"/>
          </w:tcPr>
          <w:p w:rsidR="0059117A" w:rsidRDefault="0059117A" w:rsidP="0033638D">
            <w:r w:rsidRPr="008B3760">
              <w:rPr>
                <w:lang w:val="ro-RO"/>
              </w:rPr>
              <w:t>09:30-12:30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:rsidR="0059117A" w:rsidRDefault="0059117A" w:rsidP="0033638D">
            <w:r w:rsidRPr="008B3760">
              <w:rPr>
                <w:lang w:val="ro-RO"/>
              </w:rPr>
              <w:t>Sesiunea 3 – Pregătirea pentru următoarele oferte de finanţare</w:t>
            </w:r>
          </w:p>
        </w:tc>
      </w:tr>
      <w:tr w:rsidR="0059117A" w:rsidTr="00F00D45">
        <w:trPr>
          <w:trHeight w:val="2009"/>
        </w:trPr>
        <w:tc>
          <w:tcPr>
            <w:tcW w:w="843" w:type="dxa"/>
            <w:vMerge/>
            <w:shd w:val="clear" w:color="auto" w:fill="F2F2F2" w:themeFill="background1" w:themeFillShade="F2"/>
          </w:tcPr>
          <w:p w:rsidR="0059117A" w:rsidRPr="008B3760" w:rsidRDefault="0059117A" w:rsidP="0033638D">
            <w:pPr>
              <w:rPr>
                <w:lang w:val="ro-RO"/>
              </w:rPr>
            </w:pPr>
          </w:p>
        </w:tc>
        <w:tc>
          <w:tcPr>
            <w:tcW w:w="8445" w:type="dxa"/>
          </w:tcPr>
          <w:p w:rsidR="0059117A" w:rsidRPr="008B3760" w:rsidRDefault="0059117A" w:rsidP="0059117A">
            <w:pPr>
              <w:pStyle w:val="a6"/>
              <w:numPr>
                <w:ilvl w:val="0"/>
                <w:numId w:val="1"/>
              </w:numPr>
              <w:rPr>
                <w:lang w:val="ro-RO"/>
              </w:rPr>
            </w:pPr>
            <w:r w:rsidRPr="008B3760">
              <w:rPr>
                <w:lang w:val="ro-RO"/>
              </w:rPr>
              <w:t>Tehnici de completare, scriere şi anexe.</w:t>
            </w:r>
          </w:p>
          <w:p w:rsidR="0059117A" w:rsidRPr="008B3760" w:rsidRDefault="0059117A" w:rsidP="0059117A">
            <w:pPr>
              <w:pStyle w:val="a6"/>
              <w:numPr>
                <w:ilvl w:val="0"/>
                <w:numId w:val="1"/>
              </w:numPr>
              <w:rPr>
                <w:lang w:val="ro-RO"/>
              </w:rPr>
            </w:pPr>
            <w:r w:rsidRPr="008B3760">
              <w:rPr>
                <w:lang w:val="ro-RO"/>
              </w:rPr>
              <w:t>Proiecte pentru realizare la nivel european în care partenerii moldoveni ar putea fi  integraţi.</w:t>
            </w:r>
          </w:p>
          <w:p w:rsidR="0059117A" w:rsidRDefault="0059117A" w:rsidP="0033638D">
            <w:pPr>
              <w:rPr>
                <w:lang w:val="ro-RO"/>
              </w:rPr>
            </w:pPr>
          </w:p>
          <w:p w:rsidR="0059117A" w:rsidRPr="008B3760" w:rsidRDefault="0059117A" w:rsidP="0033638D">
            <w:pPr>
              <w:rPr>
                <w:lang w:val="ro-RO"/>
              </w:rPr>
            </w:pPr>
          </w:p>
        </w:tc>
      </w:tr>
    </w:tbl>
    <w:p w:rsidR="0059117A" w:rsidRPr="008B3760" w:rsidRDefault="0059117A">
      <w:pPr>
        <w:rPr>
          <w:b/>
          <w:u w:val="single"/>
          <w:lang w:val="ro-RO"/>
        </w:rPr>
      </w:pPr>
    </w:p>
    <w:p w:rsidR="002D6EE3" w:rsidRPr="008B3760" w:rsidRDefault="002D6EE3">
      <w:pPr>
        <w:rPr>
          <w:lang w:val="ro-RO"/>
        </w:rPr>
      </w:pPr>
    </w:p>
    <w:p w:rsidR="002D6EE3" w:rsidRPr="005E5C09" w:rsidRDefault="002D6EE3">
      <w:pPr>
        <w:rPr>
          <w:lang w:val="en-US"/>
        </w:rPr>
      </w:pPr>
    </w:p>
    <w:sectPr w:rsidR="002D6EE3" w:rsidRPr="005E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283" w:rsidRDefault="00EE7283" w:rsidP="00F90A23">
      <w:r>
        <w:separator/>
      </w:r>
    </w:p>
  </w:endnote>
  <w:endnote w:type="continuationSeparator" w:id="0">
    <w:p w:rsidR="00EE7283" w:rsidRDefault="00EE7283" w:rsidP="00F9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283" w:rsidRDefault="00EE7283" w:rsidP="00F90A23">
      <w:r>
        <w:separator/>
      </w:r>
    </w:p>
  </w:footnote>
  <w:footnote w:type="continuationSeparator" w:id="0">
    <w:p w:rsidR="00EE7283" w:rsidRDefault="00EE7283" w:rsidP="00F90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731D"/>
    <w:multiLevelType w:val="hybridMultilevel"/>
    <w:tmpl w:val="F93AC212"/>
    <w:lvl w:ilvl="0" w:tplc="5C2092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27F9A"/>
    <w:multiLevelType w:val="hybridMultilevel"/>
    <w:tmpl w:val="C5888ACA"/>
    <w:lvl w:ilvl="0" w:tplc="5C2092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E3"/>
    <w:rsid w:val="00016E4F"/>
    <w:rsid w:val="000D28C8"/>
    <w:rsid w:val="000F5E7C"/>
    <w:rsid w:val="001B03EE"/>
    <w:rsid w:val="001C5930"/>
    <w:rsid w:val="001E78B4"/>
    <w:rsid w:val="0022770F"/>
    <w:rsid w:val="00264FA0"/>
    <w:rsid w:val="0027575F"/>
    <w:rsid w:val="002957C9"/>
    <w:rsid w:val="00296267"/>
    <w:rsid w:val="002B66E2"/>
    <w:rsid w:val="002D6EE3"/>
    <w:rsid w:val="00304A91"/>
    <w:rsid w:val="00360457"/>
    <w:rsid w:val="004726F1"/>
    <w:rsid w:val="004F2634"/>
    <w:rsid w:val="00530963"/>
    <w:rsid w:val="00540499"/>
    <w:rsid w:val="0059117A"/>
    <w:rsid w:val="005E5C09"/>
    <w:rsid w:val="006706C9"/>
    <w:rsid w:val="00697ED2"/>
    <w:rsid w:val="00796AC6"/>
    <w:rsid w:val="007A308C"/>
    <w:rsid w:val="0081633F"/>
    <w:rsid w:val="008927E4"/>
    <w:rsid w:val="008B3760"/>
    <w:rsid w:val="008B726D"/>
    <w:rsid w:val="008E5891"/>
    <w:rsid w:val="00927A80"/>
    <w:rsid w:val="009376F9"/>
    <w:rsid w:val="009A1D08"/>
    <w:rsid w:val="009A720B"/>
    <w:rsid w:val="009B6F86"/>
    <w:rsid w:val="009D33D7"/>
    <w:rsid w:val="009F786B"/>
    <w:rsid w:val="00A97C36"/>
    <w:rsid w:val="00AC279B"/>
    <w:rsid w:val="00AF4649"/>
    <w:rsid w:val="00B037A6"/>
    <w:rsid w:val="00B15525"/>
    <w:rsid w:val="00B41A7F"/>
    <w:rsid w:val="00B54255"/>
    <w:rsid w:val="00B56DC4"/>
    <w:rsid w:val="00BB47F7"/>
    <w:rsid w:val="00BC54AB"/>
    <w:rsid w:val="00C213F2"/>
    <w:rsid w:val="00C6428D"/>
    <w:rsid w:val="00CC17E0"/>
    <w:rsid w:val="00D320F4"/>
    <w:rsid w:val="00D36228"/>
    <w:rsid w:val="00DB0E25"/>
    <w:rsid w:val="00DD3043"/>
    <w:rsid w:val="00DF4E3F"/>
    <w:rsid w:val="00E2584B"/>
    <w:rsid w:val="00EE6C6E"/>
    <w:rsid w:val="00EE7283"/>
    <w:rsid w:val="00EF30FB"/>
    <w:rsid w:val="00F00D45"/>
    <w:rsid w:val="00F90A23"/>
    <w:rsid w:val="00F96FE5"/>
    <w:rsid w:val="00FC5962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E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6EE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D6E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EE3"/>
    <w:rPr>
      <w:rFonts w:ascii="Tahoma" w:hAnsi="Tahoma" w:cs="Tahoma"/>
      <w:sz w:val="16"/>
      <w:szCs w:val="16"/>
      <w:lang w:eastAsia="fr-FR"/>
    </w:rPr>
  </w:style>
  <w:style w:type="paragraph" w:styleId="a6">
    <w:name w:val="List Paragraph"/>
    <w:basedOn w:val="a"/>
    <w:uiPriority w:val="34"/>
    <w:qFormat/>
    <w:rsid w:val="008927E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3096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90A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0A23"/>
    <w:rPr>
      <w:rFonts w:ascii="Times New Roman" w:hAnsi="Times New Roman" w:cs="Times New Roman"/>
      <w:sz w:val="24"/>
      <w:szCs w:val="24"/>
      <w:lang w:eastAsia="fr-FR"/>
    </w:rPr>
  </w:style>
  <w:style w:type="paragraph" w:styleId="aa">
    <w:name w:val="footer"/>
    <w:basedOn w:val="a"/>
    <w:link w:val="ab"/>
    <w:uiPriority w:val="99"/>
    <w:unhideWhenUsed/>
    <w:rsid w:val="00F90A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0A23"/>
    <w:rPr>
      <w:rFonts w:ascii="Times New Roman" w:hAnsi="Times New Roman" w:cs="Times New Roman"/>
      <w:sz w:val="24"/>
      <w:szCs w:val="24"/>
      <w:lang w:eastAsia="fr-FR"/>
    </w:rPr>
  </w:style>
  <w:style w:type="table" w:styleId="ac">
    <w:name w:val="Table Grid"/>
    <w:basedOn w:val="a1"/>
    <w:uiPriority w:val="59"/>
    <w:rsid w:val="009B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E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6EE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D6E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EE3"/>
    <w:rPr>
      <w:rFonts w:ascii="Tahoma" w:hAnsi="Tahoma" w:cs="Tahoma"/>
      <w:sz w:val="16"/>
      <w:szCs w:val="16"/>
      <w:lang w:eastAsia="fr-FR"/>
    </w:rPr>
  </w:style>
  <w:style w:type="paragraph" w:styleId="a6">
    <w:name w:val="List Paragraph"/>
    <w:basedOn w:val="a"/>
    <w:uiPriority w:val="34"/>
    <w:qFormat/>
    <w:rsid w:val="008927E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3096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90A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0A23"/>
    <w:rPr>
      <w:rFonts w:ascii="Times New Roman" w:hAnsi="Times New Roman" w:cs="Times New Roman"/>
      <w:sz w:val="24"/>
      <w:szCs w:val="24"/>
      <w:lang w:eastAsia="fr-FR"/>
    </w:rPr>
  </w:style>
  <w:style w:type="paragraph" w:styleId="aa">
    <w:name w:val="footer"/>
    <w:basedOn w:val="a"/>
    <w:link w:val="ab"/>
    <w:uiPriority w:val="99"/>
    <w:unhideWhenUsed/>
    <w:rsid w:val="00F90A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0A23"/>
    <w:rPr>
      <w:rFonts w:ascii="Times New Roman" w:hAnsi="Times New Roman" w:cs="Times New Roman"/>
      <w:sz w:val="24"/>
      <w:szCs w:val="24"/>
      <w:lang w:eastAsia="fr-FR"/>
    </w:rPr>
  </w:style>
  <w:style w:type="table" w:styleId="ac">
    <w:name w:val="Table Grid"/>
    <w:basedOn w:val="a1"/>
    <w:uiPriority w:val="59"/>
    <w:rsid w:val="009B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rgiu.botolin@mc.gov.m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asile.botan@mc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6562C-F458-49A7-8D9C-6E5BB59E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PETIT Jeremie</dc:creator>
  <cp:lastModifiedBy>Lilia Burakovski</cp:lastModifiedBy>
  <cp:revision>2</cp:revision>
  <cp:lastPrinted>2015-06-22T11:44:00Z</cp:lastPrinted>
  <dcterms:created xsi:type="dcterms:W3CDTF">2015-06-22T12:32:00Z</dcterms:created>
  <dcterms:modified xsi:type="dcterms:W3CDTF">2015-06-22T12:32:00Z</dcterms:modified>
</cp:coreProperties>
</file>