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313"/>
        <w:gridCol w:w="3699"/>
      </w:tblGrid>
      <w:tr w:rsidR="002E253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3D" w:rsidRDefault="007631CC">
            <w:pPr>
              <w:ind w:firstLine="0"/>
              <w:rPr>
                <w:rFonts w:ascii="Abbess" w:hAnsi="Abbess" w:cs="Abbes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bbess" w:hAnsi="Abbess" w:cs="Abbess"/>
                <w:b/>
                <w:bCs/>
                <w:i/>
                <w:iCs/>
                <w:sz w:val="20"/>
                <w:szCs w:val="20"/>
              </w:rPr>
              <w:t>AO ARTIStudio</w:t>
            </w:r>
          </w:p>
          <w:p w:rsidR="002E253D" w:rsidRDefault="007631CC">
            <w:pPr>
              <w:ind w:firstLine="0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Chişinău, str. T.Vladimirescu 1/1</w:t>
            </w:r>
          </w:p>
          <w:p w:rsidR="002E253D" w:rsidRDefault="007631CC">
            <w:pPr>
              <w:ind w:firstLine="0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Republica Moldova, MD2024</w:t>
            </w:r>
          </w:p>
          <w:p w:rsidR="002E253D" w:rsidRDefault="002E253D">
            <w:pPr>
              <w:ind w:firstLine="0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3D" w:rsidRDefault="007631CC">
            <w:pPr>
              <w:ind w:firstLine="0"/>
            </w:pPr>
            <w:r>
              <w:t xml:space="preserve">     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766445" cy="640715"/>
                  <wp:effectExtent l="0" t="0" r="0" b="6985"/>
                  <wp:docPr id="1026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3D" w:rsidRDefault="002E253D">
            <w:pPr>
              <w:ind w:firstLine="0"/>
            </w:pPr>
          </w:p>
          <w:p w:rsidR="002E253D" w:rsidRDefault="007631CC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 xml:space="preserve">                       tel.(00373) 446499</w:t>
            </w:r>
          </w:p>
          <w:p w:rsidR="002E253D" w:rsidRDefault="007631CC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 xml:space="preserve">                gsm.( +373) 69 36 72 02</w:t>
            </w:r>
          </w:p>
          <w:p w:rsidR="002E253D" w:rsidRDefault="007631CC">
            <w:pPr>
              <w:ind w:firstLine="0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 xml:space="preserve">                e-mail:artistudio2008@gmail.com    </w:t>
            </w:r>
          </w:p>
          <w:p w:rsidR="002E253D" w:rsidRDefault="002E253D">
            <w:pPr>
              <w:ind w:firstLine="0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</w:tr>
    </w:tbl>
    <w:p w:rsidR="002E253D" w:rsidRDefault="002E253D"/>
    <w:p w:rsidR="002E253D" w:rsidRDefault="007631CC">
      <w:pPr>
        <w:ind w:firstLine="0"/>
        <w:jc w:val="center"/>
        <w:rPr>
          <w:b/>
          <w:bCs/>
        </w:rPr>
      </w:pPr>
      <w:r>
        <w:rPr>
          <w:b/>
          <w:bCs/>
        </w:rPr>
        <w:t>COMUNICAT DE PRESĂ</w:t>
      </w:r>
    </w:p>
    <w:p w:rsidR="002E253D" w:rsidRDefault="002E253D">
      <w:pPr>
        <w:ind w:firstLine="0"/>
        <w:rPr>
          <w:b/>
          <w:bCs/>
        </w:rPr>
      </w:pPr>
    </w:p>
    <w:p w:rsidR="002E253D" w:rsidRDefault="007631CC">
      <w:pPr>
        <w:ind w:firstLine="0"/>
        <w:jc w:val="center"/>
        <w:rPr>
          <w:b/>
          <w:bCs/>
        </w:rPr>
      </w:pPr>
      <w:r>
        <w:rPr>
          <w:b/>
          <w:bCs/>
        </w:rPr>
        <w:t>„HAI LA POVESTE!”</w:t>
      </w:r>
    </w:p>
    <w:p w:rsidR="002E253D" w:rsidRDefault="007631CC">
      <w:pPr>
        <w:ind w:firstLine="0"/>
        <w:jc w:val="center"/>
        <w:rPr>
          <w:b/>
          <w:bCs/>
        </w:rPr>
      </w:pPr>
      <w:r>
        <w:rPr>
          <w:b/>
          <w:bCs/>
        </w:rPr>
        <w:t>PROIECŢII MULTIMEDIA:</w:t>
      </w:r>
    </w:p>
    <w:p w:rsidR="002E253D" w:rsidRDefault="007631CC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 DESEN ANIMAT, FILM VIDEOGRAFIC </w:t>
      </w:r>
    </w:p>
    <w:p w:rsidR="002E253D" w:rsidRDefault="002E253D">
      <w:pPr>
        <w:ind w:firstLine="360"/>
        <w:jc w:val="center"/>
        <w:rPr>
          <w:rFonts w:eastAsia="MS Mincho"/>
        </w:rPr>
      </w:pPr>
    </w:p>
    <w:p w:rsidR="002E253D" w:rsidRDefault="007631CC">
      <w:pPr>
        <w:ind w:firstLine="360"/>
        <w:jc w:val="center"/>
        <w:rPr>
          <w:rFonts w:eastAsia="MS Mincho"/>
        </w:rPr>
      </w:pPr>
      <w:r>
        <w:rPr>
          <w:rFonts w:eastAsia="MS Mincho"/>
        </w:rPr>
        <w:t>15 octombrie 2015, ora 15.00</w:t>
      </w:r>
    </w:p>
    <w:p w:rsidR="002E253D" w:rsidRDefault="007631CC">
      <w:pPr>
        <w:ind w:firstLine="360"/>
        <w:jc w:val="center"/>
        <w:rPr>
          <w:rFonts w:eastAsia="MS Mincho"/>
        </w:rPr>
      </w:pPr>
      <w:r>
        <w:rPr>
          <w:rFonts w:eastAsia="MS Mincho"/>
        </w:rPr>
        <w:t>Biblioteca „Onisifor Ghibu”, Chişinău</w:t>
      </w:r>
    </w:p>
    <w:p w:rsidR="002E253D" w:rsidRDefault="002E253D">
      <w:pPr>
        <w:ind w:firstLine="0"/>
        <w:rPr>
          <w:b/>
          <w:bCs/>
        </w:rPr>
      </w:pPr>
    </w:p>
    <w:p w:rsidR="002E253D" w:rsidRDefault="002E253D">
      <w:pPr>
        <w:ind w:firstLine="0"/>
      </w:pPr>
    </w:p>
    <w:p w:rsidR="002E253D" w:rsidRDefault="007631CC">
      <w:pPr>
        <w:ind w:firstLine="0"/>
      </w:pPr>
      <w:r>
        <w:t xml:space="preserve">Asociaţia ARTIStudio din Chişinău vernisează la 15 octombrie </w:t>
      </w:r>
      <w:r w:rsidR="00751443">
        <w:t>2015</w:t>
      </w:r>
      <w:r>
        <w:t xml:space="preserve">, </w:t>
      </w:r>
      <w:r w:rsidR="00751443">
        <w:t xml:space="preserve">ora 15.00, </w:t>
      </w:r>
      <w:r>
        <w:t>în sala de lecturi a Bibliotecii „Onisifor Ghibu”, proiecţi</w:t>
      </w:r>
      <w:r w:rsidR="0027562A">
        <w:t>a</w:t>
      </w:r>
      <w:r>
        <w:t xml:space="preserve"> </w:t>
      </w:r>
      <w:r w:rsidR="00766F44">
        <w:t xml:space="preserve">în premieră a </w:t>
      </w:r>
      <w:r>
        <w:t>3 filme în desen animat şi videografic realizate de copii şi tineri.</w:t>
      </w:r>
    </w:p>
    <w:p w:rsidR="002E253D" w:rsidRDefault="002E253D">
      <w:pPr>
        <w:ind w:firstLine="0"/>
      </w:pPr>
    </w:p>
    <w:p w:rsidR="002E253D" w:rsidRDefault="007631CC">
      <w:pPr>
        <w:ind w:firstLine="0"/>
      </w:pPr>
      <w:r>
        <w:t xml:space="preserve">Evenimentul este organizat în scopul promovării </w:t>
      </w:r>
      <w:r>
        <w:rPr>
          <w:lang w:val="en-US"/>
        </w:rPr>
        <w:t>aspectelor pozitive ale migraţiei</w:t>
      </w:r>
      <w:r>
        <w:t xml:space="preserve">, </w:t>
      </w:r>
      <w:r w:rsidR="00E149DA">
        <w:t xml:space="preserve">acest </w:t>
      </w:r>
      <w:r>
        <w:t>obiectiv fiind o componentă a proiectului  „Hai la poveste!” finanţat de</w:t>
      </w:r>
      <w:r>
        <w:rPr>
          <w:lang w:val="en-US"/>
        </w:rPr>
        <w:t xml:space="preserve"> Agenţia Elveţiană pentru dezvoltare şi Cooperare. </w:t>
      </w:r>
      <w:r>
        <w:t xml:space="preserve"> 31 copii şi tineri au participat la producerea filmului cu desen animat, la editarea materialelor video cu ajutorul tehnologiilor moderne.</w:t>
      </w:r>
    </w:p>
    <w:p w:rsidR="002E253D" w:rsidRDefault="007631CC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E253D" w:rsidRDefault="007631CC">
      <w:pPr>
        <w:ind w:firstLine="0"/>
      </w:pPr>
      <w:r>
        <w:t>Tineretul, ca parte componentă a societăţii oricărei ţări, îşi are rolul său în cadrul ei, având la bază următoarele trăsături specifice: capacitatea de renovare şi de restructurare, abilitatea de a asimila idei noi, modul de gândire mai accesibil şi mai flexibil.</w:t>
      </w:r>
    </w:p>
    <w:p w:rsidR="002E253D" w:rsidRDefault="002E253D">
      <w:pPr>
        <w:ind w:firstLine="0"/>
      </w:pPr>
    </w:p>
    <w:p w:rsidR="002E253D" w:rsidRDefault="007631CC">
      <w:pPr>
        <w:ind w:firstLine="0"/>
        <w:rPr>
          <w:lang w:val="en-US"/>
        </w:rPr>
      </w:pPr>
      <w:r>
        <w:rPr>
          <w:lang w:val="en-US"/>
        </w:rPr>
        <w:t xml:space="preserve">Moldova - ţara care tinde spre integrarea </w:t>
      </w:r>
      <w:proofErr w:type="gramStart"/>
      <w:r>
        <w:rPr>
          <w:lang w:val="en-US"/>
        </w:rPr>
        <w:t>europeană  este</w:t>
      </w:r>
      <w:proofErr w:type="gramEnd"/>
      <w:r>
        <w:rPr>
          <w:lang w:val="en-US"/>
        </w:rPr>
        <w:t xml:space="preserve"> o ţară a migranţilor, poate ca e </w:t>
      </w:r>
      <w:proofErr w:type="spellStart"/>
      <w:r>
        <w:rPr>
          <w:lang w:val="en-US"/>
        </w:rPr>
        <w:t>timpul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specificăm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aspectele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pozitive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migraţiei</w:t>
      </w:r>
      <w:proofErr w:type="spellEnd"/>
      <w:r w:rsidR="00E149DA">
        <w:rPr>
          <w:lang w:val="en-US"/>
        </w:rPr>
        <w:t>:</w:t>
      </w:r>
    </w:p>
    <w:p w:rsidR="002E253D" w:rsidRDefault="007631C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resursele financiare cîştigate de migranţi </w:t>
      </w:r>
      <w:r>
        <w:t>contribuie la îmbunătăţirea calităţii vieţii lor;</w:t>
      </w:r>
    </w:p>
    <w:p w:rsidR="002E253D" w:rsidRDefault="007631CC">
      <w:pPr>
        <w:numPr>
          <w:ilvl w:val="0"/>
          <w:numId w:val="1"/>
        </w:numPr>
        <w:rPr>
          <w:lang w:val="en-US"/>
        </w:rPr>
      </w:pPr>
      <w:r>
        <w:t>impactul asupra bugetului ţării este unul pozitiv;</w:t>
      </w:r>
    </w:p>
    <w:p w:rsidR="002E253D" w:rsidRDefault="007631CC">
      <w:pPr>
        <w:numPr>
          <w:ilvl w:val="0"/>
          <w:numId w:val="1"/>
        </w:numPr>
        <w:rPr>
          <w:lang w:val="en-US"/>
        </w:rPr>
      </w:pPr>
      <w:r>
        <w:t>experienţa acumulată reprezintă o strategie intermediară pentru strategia antreprenorială;</w:t>
      </w:r>
    </w:p>
    <w:p w:rsidR="002E253D" w:rsidRDefault="007631CC">
      <w:pPr>
        <w:pStyle w:val="ListParagraph"/>
        <w:numPr>
          <w:ilvl w:val="0"/>
          <w:numId w:val="1"/>
        </w:numPr>
        <w:rPr>
          <w:lang w:val="en-US"/>
        </w:rPr>
      </w:pPr>
      <w:r>
        <w:t>un alt aspect foarte important, schimbul de cunoaştere a mai multor culturi, migranţii noştri devin mesagerii culturii noastre naţionale, reintorşi acasa ei aduc ceva nou;</w:t>
      </w:r>
    </w:p>
    <w:p w:rsidR="002E253D" w:rsidRDefault="007631CC">
      <w:pPr>
        <w:numPr>
          <w:ilvl w:val="0"/>
          <w:numId w:val="1"/>
        </w:numPr>
        <w:rPr>
          <w:lang w:val="en-US"/>
        </w:rPr>
      </w:pPr>
      <w:r>
        <w:t xml:space="preserve">mulţi tineri fac studii de calitate în străinătate. </w:t>
      </w:r>
    </w:p>
    <w:p w:rsidR="002E253D" w:rsidRDefault="002E253D">
      <w:pPr>
        <w:ind w:firstLine="0"/>
        <w:rPr>
          <w:lang w:val="en-US"/>
        </w:rPr>
      </w:pPr>
    </w:p>
    <w:p w:rsidR="002E253D" w:rsidRDefault="007631CC">
      <w:pPr>
        <w:ind w:firstLine="0"/>
      </w:pPr>
      <w:r>
        <w:t xml:space="preserve">Pornind de la aceste realităţi, la 15 octombrie  </w:t>
      </w:r>
      <w:r w:rsidR="00E149DA">
        <w:t>2015</w:t>
      </w:r>
      <w:r>
        <w:t xml:space="preserve">, vor fi proiectate </w:t>
      </w:r>
      <w:r w:rsidR="00E149DA">
        <w:t xml:space="preserve">următoarele </w:t>
      </w:r>
      <w:r>
        <w:t>filme în desen animat şi  subiecte videografice:</w:t>
      </w:r>
    </w:p>
    <w:p w:rsidR="002E253D" w:rsidRDefault="007631CC">
      <w:pPr>
        <w:numPr>
          <w:ilvl w:val="0"/>
          <w:numId w:val="2"/>
        </w:numPr>
      </w:pPr>
      <w:r>
        <w:lastRenderedPageBreak/>
        <w:t>„Fiica poliţistului de frontieră”, scenariu Mihai Poiată; scenografia Dumitru Cerbu, animaţie: Nicoleta Donescu, Ruslan Hodjaev-Anghel, Maria Caneev, Leyla Vîşcu, Sabrina Hodjaev-Anghel, Alexandra Ţurcan</w:t>
      </w:r>
    </w:p>
    <w:p w:rsidR="002E253D" w:rsidRDefault="007631CC">
      <w:pPr>
        <w:numPr>
          <w:ilvl w:val="0"/>
          <w:numId w:val="2"/>
        </w:numPr>
      </w:pPr>
      <w:r>
        <w:t>„Cutia magică”</w:t>
      </w:r>
      <w:r w:rsidR="005966C2">
        <w:t xml:space="preserve"> realizatori: Vlad Doni, Stas Pelin, Daniela </w:t>
      </w:r>
      <w:proofErr w:type="spellStart"/>
      <w:r w:rsidR="005966C2">
        <w:t>M</w:t>
      </w:r>
      <w:r w:rsidR="00704EA3">
        <w:t>î</w:t>
      </w:r>
      <w:r w:rsidR="005966C2">
        <w:t>rzac</w:t>
      </w:r>
      <w:proofErr w:type="spellEnd"/>
      <w:r w:rsidR="005966C2">
        <w:t>, ,</w:t>
      </w:r>
      <w:r w:rsidR="005966C2" w:rsidRPr="005966C2">
        <w:t xml:space="preserve"> </w:t>
      </w:r>
      <w:r w:rsidR="005966C2">
        <w:t xml:space="preserve">Iulia </w:t>
      </w:r>
      <w:proofErr w:type="spellStart"/>
      <w:r w:rsidR="005966C2">
        <w:t>Velixar</w:t>
      </w:r>
      <w:proofErr w:type="spellEnd"/>
      <w:r w:rsidR="005966C2">
        <w:t xml:space="preserve">, Liuba </w:t>
      </w:r>
      <w:proofErr w:type="spellStart"/>
      <w:r w:rsidR="005966C2">
        <w:t>Socd</w:t>
      </w:r>
      <w:proofErr w:type="spellEnd"/>
      <w:r w:rsidR="005966C2">
        <w:t xml:space="preserve">, Mihai </w:t>
      </w:r>
      <w:proofErr w:type="spellStart"/>
      <w:r w:rsidR="005966C2">
        <w:t>M</w:t>
      </w:r>
      <w:r w:rsidR="00704EA3">
        <w:t>î</w:t>
      </w:r>
      <w:r w:rsidR="005966C2">
        <w:t>rzac</w:t>
      </w:r>
      <w:proofErr w:type="spellEnd"/>
      <w:r w:rsidR="005966C2">
        <w:t xml:space="preserve"> s.a.</w:t>
      </w:r>
    </w:p>
    <w:p w:rsidR="002E253D" w:rsidRDefault="002E253D">
      <w:pPr>
        <w:ind w:left="720" w:firstLine="0"/>
      </w:pPr>
    </w:p>
    <w:p w:rsidR="002E253D" w:rsidRDefault="007631CC">
      <w:pPr>
        <w:ind w:firstLine="0"/>
      </w:pPr>
      <w:r>
        <w:rPr>
          <w:lang w:val="en-US"/>
        </w:rPr>
        <w:t xml:space="preserve">O altă temă care a fost abordată  în proiectul “Hai la poveste” este </w:t>
      </w:r>
      <w:r w:rsidR="00202257">
        <w:rPr>
          <w:lang w:val="en-US"/>
        </w:rPr>
        <w:t>cultura apei</w:t>
      </w:r>
      <w:r>
        <w:rPr>
          <w:lang w:val="en-US"/>
        </w:rPr>
        <w:t xml:space="preserve"> şi sanitaţia, vor fi proiectate filmele</w:t>
      </w:r>
      <w:r w:rsidR="005966C2">
        <w:rPr>
          <w:lang w:val="en-US"/>
        </w:rPr>
        <w:t>:</w:t>
      </w:r>
    </w:p>
    <w:p w:rsidR="002E253D" w:rsidRDefault="002E253D">
      <w:pPr>
        <w:ind w:left="720" w:firstLine="0"/>
      </w:pPr>
    </w:p>
    <w:p w:rsidR="002E253D" w:rsidRDefault="005966C2" w:rsidP="005966C2">
      <w:pPr>
        <w:pStyle w:val="ListParagraph"/>
        <w:numPr>
          <w:ilvl w:val="0"/>
          <w:numId w:val="2"/>
        </w:numPr>
      </w:pPr>
      <w:r>
        <w:t xml:space="preserve"> „Sanitaţia ecologică” realizatori: Marc </w:t>
      </w:r>
      <w:proofErr w:type="spellStart"/>
      <w:r>
        <w:t>Penzari</w:t>
      </w:r>
      <w:proofErr w:type="spellEnd"/>
      <w:r>
        <w:t xml:space="preserve">, Constantin </w:t>
      </w:r>
      <w:proofErr w:type="spellStart"/>
      <w:r>
        <w:t>Velixar</w:t>
      </w:r>
      <w:proofErr w:type="spellEnd"/>
      <w:r>
        <w:t>, Dani</w:t>
      </w:r>
      <w:r w:rsidR="00704EA3">
        <w:t>e</w:t>
      </w:r>
      <w:r>
        <w:t xml:space="preserve">la </w:t>
      </w:r>
      <w:proofErr w:type="spellStart"/>
      <w:r w:rsidR="00704EA3">
        <w:t>î</w:t>
      </w:r>
      <w:r>
        <w:t>irzac</w:t>
      </w:r>
      <w:proofErr w:type="spellEnd"/>
      <w:r>
        <w:t xml:space="preserve"> Alexandru </w:t>
      </w:r>
      <w:proofErr w:type="spellStart"/>
      <w:r>
        <w:t>Velixar</w:t>
      </w:r>
      <w:proofErr w:type="spellEnd"/>
      <w:r>
        <w:t>,</w:t>
      </w:r>
      <w:r w:rsidRPr="005966C2">
        <w:t xml:space="preserve"> </w:t>
      </w:r>
      <w:r>
        <w:t xml:space="preserve">Iulia Velixar, Liuba </w:t>
      </w:r>
      <w:proofErr w:type="spellStart"/>
      <w:r>
        <w:t>Socd</w:t>
      </w:r>
      <w:proofErr w:type="spellEnd"/>
      <w:r>
        <w:t xml:space="preserve">, Mihai </w:t>
      </w:r>
      <w:proofErr w:type="spellStart"/>
      <w:r>
        <w:t>M</w:t>
      </w:r>
      <w:r w:rsidR="00704EA3">
        <w:t>î</w:t>
      </w:r>
      <w:r>
        <w:t>rzac</w:t>
      </w:r>
      <w:proofErr w:type="spellEnd"/>
      <w:r>
        <w:t xml:space="preserve"> s.a.</w:t>
      </w:r>
    </w:p>
    <w:p w:rsidR="002E253D" w:rsidRDefault="005966C2">
      <w:pPr>
        <w:numPr>
          <w:ilvl w:val="0"/>
          <w:numId w:val="2"/>
        </w:numPr>
      </w:pPr>
      <w:r>
        <w:t xml:space="preserve"> </w:t>
      </w:r>
      <w:r w:rsidR="007631CC">
        <w:t xml:space="preserve">„Toată lumea face baie!”, scenariu după versurile </w:t>
      </w:r>
      <w:r w:rsidR="00E149DA">
        <w:t xml:space="preserve">lui </w:t>
      </w:r>
      <w:r w:rsidR="007631CC">
        <w:t>Constantin Dragomir, desene Magda Marinescu – 5 ani, animaţie  Nicoleta Donescu s.a;</w:t>
      </w:r>
    </w:p>
    <w:p w:rsidR="002E253D" w:rsidRDefault="007631CC">
      <w:pPr>
        <w:ind w:firstLine="0"/>
      </w:pPr>
      <w:r>
        <w:t xml:space="preserve">        </w:t>
      </w:r>
    </w:p>
    <w:p w:rsidR="002E253D" w:rsidRDefault="007631CC">
      <w:pPr>
        <w:ind w:firstLine="0"/>
      </w:pPr>
      <w:r>
        <w:t xml:space="preserve">Autorii proiectului şi-au propus să le ofere tinerilor diferite cunoştinţe şi abilităţi necesare pentru libera exprimare a opiniei prin intermediul filmului cu desen animat şi tehnologiilor digitale, pentru promovarea </w:t>
      </w:r>
      <w:proofErr w:type="spellStart"/>
      <w:r>
        <w:rPr>
          <w:lang w:val="en-US"/>
        </w:rPr>
        <w:t>aspectelor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pozitive</w:t>
      </w:r>
      <w:proofErr w:type="spellEnd"/>
      <w:r>
        <w:rPr>
          <w:lang w:val="en-US"/>
        </w:rPr>
        <w:t xml:space="preserve"> ale </w:t>
      </w:r>
      <w:proofErr w:type="spellStart"/>
      <w:r w:rsidR="00E149DA">
        <w:rPr>
          <w:lang w:val="en-US"/>
        </w:rPr>
        <w:t>migraţiei</w:t>
      </w:r>
      <w:proofErr w:type="spellEnd"/>
      <w:r>
        <w:t>.</w:t>
      </w:r>
    </w:p>
    <w:p w:rsidR="002E253D" w:rsidRDefault="002E253D">
      <w:pPr>
        <w:ind w:firstLine="0"/>
      </w:pPr>
    </w:p>
    <w:p w:rsidR="002E253D" w:rsidRDefault="007631CC">
      <w:pPr>
        <w:ind w:firstLine="0"/>
      </w:pPr>
      <w:r>
        <w:t>În cadrul atelierelor „Film cu desen animat” şi „Tehnologii multimedia” dominantă a fost „formarea mentalităţii creativ-pozitive a tineretului</w:t>
      </w:r>
      <w:r w:rsidR="00E149DA">
        <w:t>,</w:t>
      </w:r>
      <w:r>
        <w:t xml:space="preserve"> în ideea soluţionării problemelor sociale şi a celor ce ţin de promovarea temei proiectului.</w:t>
      </w:r>
    </w:p>
    <w:p w:rsidR="002E253D" w:rsidRDefault="002E253D">
      <w:pPr>
        <w:ind w:firstLine="0"/>
      </w:pPr>
    </w:p>
    <w:p w:rsidR="002E253D" w:rsidRDefault="007631CC">
      <w:pPr>
        <w:ind w:firstLine="0"/>
        <w:rPr>
          <w:rFonts w:eastAsia="MS Mincho"/>
        </w:rPr>
      </w:pPr>
      <w:r>
        <w:rPr>
          <w:rFonts w:eastAsia="MS Mincho"/>
        </w:rPr>
        <w:t xml:space="preserve">În context, este remarcabilă opinia Danielei Mîrzac, participant la atelierul multimedia: </w:t>
      </w:r>
    </w:p>
    <w:p w:rsidR="00DB32A9" w:rsidRDefault="00DB32A9">
      <w:pPr>
        <w:ind w:firstLine="0"/>
        <w:rPr>
          <w:rFonts w:eastAsia="MS Mincho"/>
        </w:rPr>
      </w:pPr>
      <w:r>
        <w:rPr>
          <w:rFonts w:eastAsia="MS Mincho"/>
        </w:rPr>
        <w:t>„</w:t>
      </w:r>
      <w:r w:rsidR="007631CC" w:rsidRPr="00DB32A9">
        <w:rPr>
          <w:rFonts w:eastAsia="MS Mincho"/>
        </w:rPr>
        <w:t xml:space="preserve">Este deosebit de frumos ce facem noi, copii </w:t>
      </w:r>
      <w:r w:rsidR="00E149DA">
        <w:rPr>
          <w:rFonts w:eastAsia="MS Mincho"/>
        </w:rPr>
        <w:t>ş</w:t>
      </w:r>
      <w:r w:rsidR="00E149DA" w:rsidRPr="00DB32A9">
        <w:rPr>
          <w:rFonts w:eastAsia="MS Mincho"/>
        </w:rPr>
        <w:t xml:space="preserve">i </w:t>
      </w:r>
      <w:r w:rsidR="007631CC" w:rsidRPr="00DB32A9">
        <w:rPr>
          <w:rFonts w:eastAsia="MS Mincho"/>
        </w:rPr>
        <w:t xml:space="preserve">tinerii, aici </w:t>
      </w:r>
      <w:r w:rsidR="00E149DA">
        <w:rPr>
          <w:rFonts w:eastAsia="MS Mincho"/>
        </w:rPr>
        <w:t>î</w:t>
      </w:r>
      <w:r w:rsidR="00E149DA" w:rsidRPr="00DB32A9">
        <w:rPr>
          <w:rFonts w:eastAsia="MS Mincho"/>
        </w:rPr>
        <w:t xml:space="preserve">n </w:t>
      </w:r>
      <w:r w:rsidRPr="00DB32A9">
        <w:rPr>
          <w:rFonts w:eastAsia="MS Mincho"/>
        </w:rPr>
        <w:t>studiou. Venim cu un mesaj, c</w:t>
      </w:r>
      <w:r w:rsidR="007631CC" w:rsidRPr="00DB32A9">
        <w:rPr>
          <w:rFonts w:eastAsia="MS Mincho"/>
        </w:rPr>
        <w:t>are transmite ideea de toleran</w:t>
      </w:r>
      <w:r w:rsidR="00E149DA">
        <w:rPr>
          <w:rFonts w:eastAsia="MS Mincho"/>
        </w:rPr>
        <w:t>ţă</w:t>
      </w:r>
      <w:r w:rsidR="007631CC" w:rsidRPr="00DB32A9">
        <w:rPr>
          <w:rFonts w:eastAsia="MS Mincho"/>
        </w:rPr>
        <w:t xml:space="preserve"> universal</w:t>
      </w:r>
      <w:r w:rsidR="00E149DA">
        <w:rPr>
          <w:rFonts w:eastAsia="MS Mincho"/>
        </w:rPr>
        <w:t>ă</w:t>
      </w:r>
      <w:r w:rsidR="007631CC" w:rsidRPr="00DB32A9">
        <w:rPr>
          <w:rFonts w:eastAsia="MS Mincho"/>
        </w:rPr>
        <w:t xml:space="preserve">, capacitatea de a locui </w:t>
      </w:r>
      <w:r w:rsidR="00E149DA">
        <w:rPr>
          <w:rFonts w:eastAsia="MS Mincho"/>
        </w:rPr>
        <w:t>î</w:t>
      </w:r>
      <w:r w:rsidR="007631CC" w:rsidRPr="00DB32A9">
        <w:rPr>
          <w:rFonts w:eastAsia="MS Mincho"/>
        </w:rPr>
        <w:t>n comunit</w:t>
      </w:r>
      <w:r w:rsidR="00E149DA">
        <w:rPr>
          <w:rFonts w:eastAsia="MS Mincho"/>
        </w:rPr>
        <w:t>ăţ</w:t>
      </w:r>
      <w:r w:rsidR="007631CC" w:rsidRPr="00DB32A9">
        <w:rPr>
          <w:rFonts w:eastAsia="MS Mincho"/>
        </w:rPr>
        <w:t>i integrate</w:t>
      </w:r>
      <w:r w:rsidR="00E149DA">
        <w:rPr>
          <w:rFonts w:eastAsia="MS Mincho"/>
        </w:rPr>
        <w:t>,</w:t>
      </w:r>
      <w:r w:rsidR="007631CC" w:rsidRPr="00DB32A9">
        <w:rPr>
          <w:rFonts w:eastAsia="MS Mincho"/>
        </w:rPr>
        <w:t xml:space="preserve"> </w:t>
      </w:r>
      <w:r w:rsidR="00E149DA">
        <w:rPr>
          <w:rFonts w:eastAsia="MS Mincho"/>
        </w:rPr>
        <w:t>î</w:t>
      </w:r>
      <w:r w:rsidR="007631CC" w:rsidRPr="00DB32A9">
        <w:rPr>
          <w:rFonts w:eastAsia="MS Mincho"/>
        </w:rPr>
        <w:t xml:space="preserve">n pace </w:t>
      </w:r>
      <w:r w:rsidR="00E149DA">
        <w:rPr>
          <w:rFonts w:eastAsia="MS Mincho"/>
        </w:rPr>
        <w:t>ş</w:t>
      </w:r>
      <w:r w:rsidR="00E149DA" w:rsidRPr="00DB32A9">
        <w:rPr>
          <w:rFonts w:eastAsia="MS Mincho"/>
        </w:rPr>
        <w:t>i lini</w:t>
      </w:r>
      <w:r w:rsidR="00E149DA">
        <w:rPr>
          <w:rFonts w:eastAsia="MS Mincho"/>
        </w:rPr>
        <w:t>ş</w:t>
      </w:r>
      <w:r w:rsidR="00E149DA" w:rsidRPr="00DB32A9">
        <w:rPr>
          <w:rFonts w:eastAsia="MS Mincho"/>
        </w:rPr>
        <w:t>te</w:t>
      </w:r>
      <w:r w:rsidR="00E149DA">
        <w:rPr>
          <w:rFonts w:eastAsia="MS Mincho"/>
        </w:rPr>
        <w:t>,</w:t>
      </w:r>
      <w:r w:rsidR="00E149DA" w:rsidRPr="00DB32A9">
        <w:rPr>
          <w:rFonts w:eastAsia="MS Mincho"/>
        </w:rPr>
        <w:t xml:space="preserve"> </w:t>
      </w:r>
      <w:r w:rsidR="007631CC" w:rsidRPr="00DB32A9">
        <w:rPr>
          <w:rFonts w:eastAsia="MS Mincho"/>
        </w:rPr>
        <w:t xml:space="preserve">spre beneficiul tuturor </w:t>
      </w:r>
      <w:r w:rsidR="00E149DA" w:rsidRPr="00DB32A9">
        <w:rPr>
          <w:rFonts w:eastAsia="MS Mincho"/>
        </w:rPr>
        <w:t>p</w:t>
      </w:r>
      <w:r w:rsidR="00E149DA">
        <w:rPr>
          <w:rFonts w:eastAsia="MS Mincho"/>
        </w:rPr>
        <w:t>ă</w:t>
      </w:r>
      <w:r w:rsidR="00E149DA" w:rsidRPr="00DB32A9">
        <w:rPr>
          <w:rFonts w:eastAsia="MS Mincho"/>
        </w:rPr>
        <w:t>r</w:t>
      </w:r>
      <w:r w:rsidR="00E149DA">
        <w:rPr>
          <w:rFonts w:eastAsia="MS Mincho"/>
        </w:rPr>
        <w:t>ţ</w:t>
      </w:r>
      <w:r w:rsidR="00E149DA" w:rsidRPr="00DB32A9">
        <w:rPr>
          <w:rFonts w:eastAsia="MS Mincho"/>
        </w:rPr>
        <w:t xml:space="preserve">ilor </w:t>
      </w:r>
      <w:r w:rsidR="007631CC" w:rsidRPr="00DB32A9">
        <w:rPr>
          <w:rFonts w:eastAsia="MS Mincho"/>
        </w:rPr>
        <w:t xml:space="preserve">implicate. </w:t>
      </w:r>
      <w:r w:rsidR="00E149DA">
        <w:rPr>
          <w:rFonts w:eastAsia="MS Mincho"/>
        </w:rPr>
        <w:t>Î</w:t>
      </w:r>
      <w:r w:rsidR="00E149DA" w:rsidRPr="00DB32A9">
        <w:rPr>
          <w:rFonts w:eastAsia="MS Mincho"/>
        </w:rPr>
        <w:t>nv</w:t>
      </w:r>
      <w:r w:rsidR="00E149DA">
        <w:rPr>
          <w:rFonts w:eastAsia="MS Mincho"/>
        </w:rPr>
        <w:t>ăţă</w:t>
      </w:r>
      <w:r w:rsidR="00E149DA" w:rsidRPr="00DB32A9">
        <w:rPr>
          <w:rFonts w:eastAsia="MS Mincho"/>
        </w:rPr>
        <w:t xml:space="preserve">m </w:t>
      </w:r>
      <w:r w:rsidR="007631CC" w:rsidRPr="00DB32A9">
        <w:rPr>
          <w:rFonts w:eastAsia="MS Mincho"/>
        </w:rPr>
        <w:t>foarte multe lucruri cu practica imediata, spre exemplu - etapele de post-</w:t>
      </w:r>
      <w:r w:rsidR="00E149DA" w:rsidRPr="00DB32A9">
        <w:rPr>
          <w:rFonts w:eastAsia="MS Mincho"/>
        </w:rPr>
        <w:t>produc</w:t>
      </w:r>
      <w:r w:rsidR="00E149DA">
        <w:rPr>
          <w:rFonts w:eastAsia="MS Mincho"/>
        </w:rPr>
        <w:t>ţ</w:t>
      </w:r>
      <w:r w:rsidR="00E149DA" w:rsidRPr="00DB32A9">
        <w:rPr>
          <w:rFonts w:eastAsia="MS Mincho"/>
        </w:rPr>
        <w:t xml:space="preserve">ie </w:t>
      </w:r>
      <w:r w:rsidR="007631CC" w:rsidRPr="00DB32A9">
        <w:rPr>
          <w:rFonts w:eastAsia="MS Mincho"/>
        </w:rPr>
        <w:t xml:space="preserve">a unui film de desen animat, iar firul logic al acestor </w:t>
      </w:r>
      <w:r w:rsidR="00E149DA" w:rsidRPr="00DB32A9">
        <w:rPr>
          <w:rFonts w:eastAsia="MS Mincho"/>
        </w:rPr>
        <w:t>ac</w:t>
      </w:r>
      <w:r w:rsidR="00E149DA">
        <w:rPr>
          <w:rFonts w:eastAsia="MS Mincho"/>
        </w:rPr>
        <w:t>ţ</w:t>
      </w:r>
      <w:r w:rsidR="00E149DA" w:rsidRPr="00DB32A9">
        <w:rPr>
          <w:rFonts w:eastAsia="MS Mincho"/>
        </w:rPr>
        <w:t xml:space="preserve">iuni </w:t>
      </w:r>
      <w:r w:rsidR="007631CC" w:rsidRPr="00DB32A9">
        <w:rPr>
          <w:rFonts w:eastAsia="MS Mincho"/>
        </w:rPr>
        <w:t>este unul simplu, coerent.</w:t>
      </w:r>
      <w:r>
        <w:rPr>
          <w:rFonts w:eastAsia="MS Mincho"/>
        </w:rPr>
        <w:t>”</w:t>
      </w:r>
    </w:p>
    <w:p w:rsidR="00DE2DAF" w:rsidRDefault="00DE2DAF">
      <w:pPr>
        <w:ind w:firstLine="0"/>
        <w:rPr>
          <w:rFonts w:eastAsia="MS Mincho"/>
        </w:rPr>
      </w:pPr>
    </w:p>
    <w:p w:rsidR="00DE2DAF" w:rsidRPr="00DE2DAF" w:rsidRDefault="00DE2DAF">
      <w:pPr>
        <w:ind w:firstLine="0"/>
        <w:rPr>
          <w:rFonts w:eastAsia="MS Mincho"/>
        </w:rPr>
      </w:pPr>
      <w:r w:rsidRPr="00DE2DAF">
        <w:rPr>
          <w:rFonts w:eastAsia="MS Mincho"/>
        </w:rPr>
        <w:t>Partene</w:t>
      </w:r>
      <w:r>
        <w:rPr>
          <w:rFonts w:eastAsia="MS Mincho"/>
        </w:rPr>
        <w:t>r</w:t>
      </w:r>
      <w:r w:rsidRPr="00DE2DAF">
        <w:rPr>
          <w:rFonts w:eastAsia="MS Mincho"/>
        </w:rPr>
        <w:t>ii proiectului:</w:t>
      </w:r>
    </w:p>
    <w:p w:rsidR="00DE2DAF" w:rsidRPr="00DE2DAF" w:rsidRDefault="00DE2DAF" w:rsidP="00DE2DAF">
      <w:pPr>
        <w:numPr>
          <w:ilvl w:val="0"/>
          <w:numId w:val="4"/>
        </w:numPr>
        <w:jc w:val="left"/>
        <w:rPr>
          <w:lang w:eastAsia="ro-RO"/>
        </w:rPr>
      </w:pPr>
      <w:r w:rsidRPr="00DE2DAF">
        <w:rPr>
          <w:lang w:eastAsia="ro-RO"/>
        </w:rPr>
        <w:t>Direcţia Municipală pentru Protecţia Drepturilor Copilului</w:t>
      </w:r>
    </w:p>
    <w:p w:rsidR="00DE2DAF" w:rsidRPr="00DE2DAF" w:rsidRDefault="00DE2DAF" w:rsidP="00DE2DAF">
      <w:pPr>
        <w:numPr>
          <w:ilvl w:val="0"/>
          <w:numId w:val="4"/>
        </w:numPr>
        <w:jc w:val="left"/>
        <w:rPr>
          <w:lang w:eastAsia="ro-RO"/>
        </w:rPr>
      </w:pPr>
      <w:r w:rsidRPr="00DE2DAF">
        <w:rPr>
          <w:lang w:eastAsia="ro-RO"/>
        </w:rPr>
        <w:t>Uniunea Cinea</w:t>
      </w:r>
      <w:r>
        <w:rPr>
          <w:lang w:eastAsia="ro-RO"/>
        </w:rPr>
        <w:t>ş</w:t>
      </w:r>
      <w:r w:rsidRPr="00DE2DAF">
        <w:rPr>
          <w:lang w:eastAsia="ro-RO"/>
        </w:rPr>
        <w:t>tilor din Republica Moldova</w:t>
      </w:r>
    </w:p>
    <w:p w:rsidR="00DE2DAF" w:rsidRPr="00DE2DAF" w:rsidRDefault="00DE2DAF" w:rsidP="00DE2DAF">
      <w:pPr>
        <w:numPr>
          <w:ilvl w:val="0"/>
          <w:numId w:val="4"/>
        </w:numPr>
        <w:jc w:val="left"/>
        <w:rPr>
          <w:lang w:eastAsia="ro-RO"/>
        </w:rPr>
      </w:pPr>
      <w:r w:rsidRPr="00DE2DAF">
        <w:rPr>
          <w:lang w:eastAsia="ro-RO"/>
        </w:rPr>
        <w:t>Biblioteca municipală „Onisifor Ghibu”</w:t>
      </w:r>
    </w:p>
    <w:p w:rsidR="00DE2DAF" w:rsidRDefault="00DE2DAF">
      <w:pPr>
        <w:ind w:firstLine="0"/>
        <w:rPr>
          <w:rFonts w:eastAsia="MS Mincho"/>
        </w:rPr>
      </w:pPr>
    </w:p>
    <w:p w:rsidR="00DB32A9" w:rsidRDefault="00DB32A9">
      <w:pPr>
        <w:ind w:firstLine="0"/>
        <w:rPr>
          <w:rFonts w:eastAsia="MS Mincho"/>
        </w:rPr>
      </w:pPr>
    </w:p>
    <w:p w:rsidR="00DB32A9" w:rsidRDefault="00DB32A9">
      <w:pPr>
        <w:ind w:firstLine="0"/>
        <w:rPr>
          <w:rFonts w:eastAsia="MS Mincho"/>
        </w:rPr>
      </w:pPr>
      <w:bookmarkStart w:id="0" w:name="_GoBack"/>
      <w:bookmarkEnd w:id="0"/>
    </w:p>
    <w:p w:rsidR="002E253D" w:rsidRDefault="007631CC">
      <w:pPr>
        <w:ind w:firstLine="0"/>
        <w:rPr>
          <w:rFonts w:eastAsia="MS Mincho"/>
        </w:rPr>
      </w:pPr>
      <w:r w:rsidRPr="00DB32A9">
        <w:rPr>
          <w:rFonts w:eastAsia="MS Mincho"/>
        </w:rPr>
        <w:t xml:space="preserve"> </w:t>
      </w:r>
    </w:p>
    <w:p w:rsidR="002E253D" w:rsidRDefault="007631CC">
      <w:pPr>
        <w:ind w:firstLine="0"/>
        <w:jc w:val="center"/>
      </w:pPr>
      <w:r>
        <w:t>Larisa Glinca, director Asociaţia ARTIStudio</w:t>
      </w:r>
    </w:p>
    <w:p w:rsidR="002E253D" w:rsidRDefault="007631CC">
      <w:pPr>
        <w:ind w:firstLine="0"/>
        <w:jc w:val="center"/>
      </w:pPr>
      <w:r>
        <w:t>Tel: 069367202</w:t>
      </w:r>
    </w:p>
    <w:p w:rsidR="002E253D" w:rsidRDefault="002E253D"/>
    <w:sectPr w:rsidR="002E253D" w:rsidSect="001D37C8">
      <w:pgSz w:w="11907" w:h="16840" w:code="9"/>
      <w:pgMar w:top="1134" w:right="851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bbes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5667AF2"/>
    <w:lvl w:ilvl="0" w:tplc="041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8B1E9E84"/>
    <w:lvl w:ilvl="0" w:tplc="113A44E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6"/>
    <w:multiLevelType w:val="hybridMultilevel"/>
    <w:tmpl w:val="A4E8D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2E3950"/>
    <w:multiLevelType w:val="hybridMultilevel"/>
    <w:tmpl w:val="06E8346E"/>
    <w:lvl w:ilvl="0" w:tplc="F58A3A5A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2E253D"/>
    <w:rsid w:val="001D37C8"/>
    <w:rsid w:val="00202257"/>
    <w:rsid w:val="0027562A"/>
    <w:rsid w:val="002E253D"/>
    <w:rsid w:val="00453AA6"/>
    <w:rsid w:val="005966C2"/>
    <w:rsid w:val="00704EA3"/>
    <w:rsid w:val="00751443"/>
    <w:rsid w:val="007631CC"/>
    <w:rsid w:val="00766F44"/>
    <w:rsid w:val="00BC237F"/>
    <w:rsid w:val="00DB32A9"/>
    <w:rsid w:val="00DE2DAF"/>
    <w:rsid w:val="00E1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7C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D3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37C8"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1D37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2015-10-08T14:17:00Z</dcterms:created>
  <dcterms:modified xsi:type="dcterms:W3CDTF">2015-10-12T05:17:00Z</dcterms:modified>
</cp:coreProperties>
</file>