
<file path=[Content_Types].xml><?xml version="1.0" encoding="utf-8"?>
<Types xmlns="http://schemas.openxmlformats.org/package/2006/content-types">
  <Default Extension="rels" ContentType="application/vnd.openxmlformats-package.relationships+xml"/>
  <Default Extension="xml" ContentType="application/xml"/>
  <Default Extension="AEC29AA0" ContentType="image/jpeg"/>
  <Default Extension="6A9E3630"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523D" w:rsidRDefault="000F2086" w:rsidP="000F2086">
      <w:pPr>
        <w:jc w:val="both"/>
      </w:pPr>
      <w:bookmarkStart w:id="0" w:name="_GoBack"/>
      <w:r>
        <w:rPr>
          <w:noProof/>
          <w:lang w:eastAsia="fr-BE"/>
        </w:rPr>
        <w:drawing>
          <wp:inline distT="0" distB="0" distL="0" distR="0" wp14:anchorId="2CBBBF38" wp14:editId="39A3933F">
            <wp:extent cx="4076700" cy="523875"/>
            <wp:effectExtent l="0" t="0" r="0" b="9525"/>
            <wp:docPr id="1" name="Image 1" descr="cid:image002.jpg@01D31FE2.BBB68F90"/>
            <wp:cNvGraphicFramePr/>
            <a:graphic xmlns:a="http://schemas.openxmlformats.org/drawingml/2006/main">
              <a:graphicData uri="http://schemas.openxmlformats.org/drawingml/2006/picture">
                <pic:pic xmlns:pic="http://schemas.openxmlformats.org/drawingml/2006/picture">
                  <pic:nvPicPr>
                    <pic:cNvPr id="1" name="Image 1" descr="cid:image002.jpg@01D31FE2.BBB68F90"/>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76700" cy="523875"/>
                    </a:xfrm>
                    <a:prstGeom prst="rect">
                      <a:avLst/>
                    </a:prstGeom>
                    <a:noFill/>
                    <a:ln>
                      <a:noFill/>
                    </a:ln>
                  </pic:spPr>
                </pic:pic>
              </a:graphicData>
            </a:graphic>
          </wp:inline>
        </w:drawing>
      </w:r>
      <w:bookmarkEnd w:id="0"/>
      <w:r>
        <w:rPr>
          <w:noProof/>
          <w:lang w:eastAsia="fr-BE"/>
        </w:rPr>
        <w:drawing>
          <wp:inline distT="0" distB="0" distL="0" distR="0" wp14:anchorId="7A30B4E2" wp14:editId="39982FA6">
            <wp:extent cx="1371600" cy="447675"/>
            <wp:effectExtent l="0" t="0" r="0" b="0"/>
            <wp:docPr id="7" name="Image 7" descr="cid:image004.png@01D5A3B1.6A9E3630"/>
            <wp:cNvGraphicFramePr/>
            <a:graphic xmlns:a="http://schemas.openxmlformats.org/drawingml/2006/main">
              <a:graphicData uri="http://schemas.openxmlformats.org/drawingml/2006/picture">
                <pic:pic xmlns:pic="http://schemas.openxmlformats.org/drawingml/2006/picture">
                  <pic:nvPicPr>
                    <pic:cNvPr id="2" name="Image 5" descr="cid:image004.png@01D5A3B1.6A9E3630"/>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0" cy="447675"/>
                    </a:xfrm>
                    <a:prstGeom prst="rect">
                      <a:avLst/>
                    </a:prstGeom>
                    <a:noFill/>
                    <a:ln>
                      <a:noFill/>
                    </a:ln>
                  </pic:spPr>
                </pic:pic>
              </a:graphicData>
            </a:graphic>
          </wp:inline>
        </w:drawing>
      </w:r>
    </w:p>
    <w:p w:rsidR="000F2086" w:rsidRDefault="000F2086" w:rsidP="00732FE3">
      <w:pPr>
        <w:jc w:val="center"/>
        <w:rPr>
          <w:rFonts w:ascii="Arial" w:hAnsi="Arial" w:cs="Arial"/>
          <w:b/>
          <w:highlight w:val="yellow"/>
          <w:lang w:val="en-US"/>
        </w:rPr>
      </w:pPr>
    </w:p>
    <w:p w:rsidR="00732FE3" w:rsidRPr="00732FE3" w:rsidRDefault="00635BC8" w:rsidP="00732FE3">
      <w:pPr>
        <w:jc w:val="center"/>
        <w:rPr>
          <w:rFonts w:ascii="Arial" w:hAnsi="Arial" w:cs="Arial"/>
          <w:b/>
          <w:lang w:val="en-US"/>
        </w:rPr>
      </w:pPr>
      <w:r w:rsidRPr="00635BC8">
        <w:rPr>
          <w:rFonts w:ascii="Arial" w:hAnsi="Arial" w:cs="Arial"/>
          <w:b/>
          <w:highlight w:val="yellow"/>
          <w:lang w:val="en-US"/>
        </w:rPr>
        <w:t>EXTENSION OF DEA</w:t>
      </w:r>
      <w:r w:rsidR="000F2086">
        <w:rPr>
          <w:rFonts w:ascii="Arial" w:hAnsi="Arial" w:cs="Arial"/>
          <w:b/>
          <w:highlight w:val="yellow"/>
          <w:lang w:val="en-US"/>
        </w:rPr>
        <w:t>D</w:t>
      </w:r>
      <w:r w:rsidRPr="00635BC8">
        <w:rPr>
          <w:rFonts w:ascii="Arial" w:hAnsi="Arial" w:cs="Arial"/>
          <w:b/>
          <w:highlight w:val="yellow"/>
          <w:lang w:val="en-US"/>
        </w:rPr>
        <w:t>LINE</w:t>
      </w:r>
      <w:r>
        <w:rPr>
          <w:rFonts w:ascii="Arial" w:hAnsi="Arial" w:cs="Arial"/>
          <w:b/>
          <w:lang w:val="en-US"/>
        </w:rPr>
        <w:t xml:space="preserve"> </w:t>
      </w:r>
      <w:r w:rsidR="000F2086">
        <w:rPr>
          <w:rFonts w:ascii="Arial" w:hAnsi="Arial" w:cs="Arial"/>
          <w:b/>
          <w:lang w:val="en-US"/>
        </w:rPr>
        <w:t xml:space="preserve">of </w:t>
      </w:r>
      <w:r>
        <w:rPr>
          <w:rFonts w:ascii="Arial" w:hAnsi="Arial" w:cs="Arial"/>
          <w:b/>
          <w:lang w:val="en-US"/>
        </w:rPr>
        <w:t xml:space="preserve">Call for papers </w:t>
      </w:r>
    </w:p>
    <w:p w:rsidR="00732FE3" w:rsidRPr="00732FE3" w:rsidRDefault="00732FE3" w:rsidP="00732FE3">
      <w:pPr>
        <w:jc w:val="center"/>
        <w:rPr>
          <w:rFonts w:ascii="Arial" w:hAnsi="Arial" w:cs="Arial"/>
          <w:b/>
          <w:sz w:val="28"/>
          <w:szCs w:val="28"/>
          <w:lang w:val="en-US"/>
        </w:rPr>
      </w:pPr>
      <w:r w:rsidRPr="00732FE3">
        <w:rPr>
          <w:rFonts w:ascii="Arial" w:hAnsi="Arial" w:cs="Arial"/>
          <w:b/>
          <w:sz w:val="28"/>
          <w:szCs w:val="28"/>
          <w:lang w:val="en-US"/>
        </w:rPr>
        <w:t>The contribution of the commons to open and shared access to</w:t>
      </w:r>
      <w:r>
        <w:rPr>
          <w:rFonts w:ascii="Arial" w:hAnsi="Arial" w:cs="Arial"/>
          <w:b/>
          <w:sz w:val="28"/>
          <w:szCs w:val="28"/>
          <w:lang w:val="en-US"/>
        </w:rPr>
        <w:t xml:space="preserve"> </w:t>
      </w:r>
      <w:r w:rsidRPr="00732FE3">
        <w:rPr>
          <w:rFonts w:ascii="Arial" w:hAnsi="Arial" w:cs="Arial"/>
          <w:b/>
          <w:sz w:val="28"/>
          <w:szCs w:val="28"/>
          <w:lang w:val="en-US"/>
        </w:rPr>
        <w:t>productive resources and essential goods and services</w:t>
      </w:r>
    </w:p>
    <w:p w:rsidR="00732FE3" w:rsidRPr="00732FE3" w:rsidRDefault="00635BC8" w:rsidP="00732FE3">
      <w:pPr>
        <w:jc w:val="center"/>
        <w:rPr>
          <w:rFonts w:ascii="Arial" w:hAnsi="Arial" w:cs="Arial"/>
          <w:i/>
        </w:rPr>
      </w:pPr>
      <w:r w:rsidRPr="00635BC8">
        <w:rPr>
          <w:rFonts w:ascii="Arial" w:hAnsi="Arial" w:cs="Arial"/>
          <w:i/>
          <w:lang w:val="en-US"/>
        </w:rPr>
        <w:t>special issue</w:t>
      </w:r>
      <w:r>
        <w:rPr>
          <w:rFonts w:ascii="Arial" w:hAnsi="Arial" w:cs="Arial"/>
          <w:i/>
        </w:rPr>
        <w:t xml:space="preserve"> </w:t>
      </w:r>
      <w:proofErr w:type="spellStart"/>
      <w:r w:rsidR="00732FE3" w:rsidRPr="00732FE3">
        <w:rPr>
          <w:rFonts w:ascii="Arial" w:hAnsi="Arial" w:cs="Arial"/>
          <w:i/>
        </w:rPr>
        <w:t>under</w:t>
      </w:r>
      <w:proofErr w:type="spellEnd"/>
      <w:r w:rsidR="00732FE3" w:rsidRPr="00732FE3">
        <w:rPr>
          <w:rFonts w:ascii="Arial" w:hAnsi="Arial" w:cs="Arial"/>
          <w:i/>
        </w:rPr>
        <w:t xml:space="preserve"> the direction of</w:t>
      </w:r>
    </w:p>
    <w:p w:rsidR="004E0C67" w:rsidRDefault="004E0C67" w:rsidP="004E0C67">
      <w:pPr>
        <w:rPr>
          <w:rFonts w:ascii="Arial" w:hAnsi="Arial" w:cs="Arial"/>
          <w:b/>
        </w:rPr>
      </w:pPr>
      <w:r w:rsidRPr="004E0C67">
        <w:rPr>
          <w:rFonts w:ascii="Arial" w:hAnsi="Arial" w:cs="Arial"/>
          <w:b/>
        </w:rPr>
        <w:t xml:space="preserve"> </w:t>
      </w:r>
      <w:r>
        <w:rPr>
          <w:rFonts w:ascii="Arial" w:hAnsi="Arial" w:cs="Arial"/>
          <w:b/>
        </w:rPr>
        <w:t xml:space="preserve">Philippe </w:t>
      </w:r>
      <w:proofErr w:type="spellStart"/>
      <w:r>
        <w:rPr>
          <w:rFonts w:ascii="Arial" w:hAnsi="Arial" w:cs="Arial"/>
          <w:b/>
        </w:rPr>
        <w:t>Bance</w:t>
      </w:r>
      <w:proofErr w:type="spellEnd"/>
      <w:r>
        <w:rPr>
          <w:rFonts w:ascii="Arial" w:hAnsi="Arial" w:cs="Arial"/>
          <w:b/>
        </w:rPr>
        <w:t xml:space="preserve">, </w:t>
      </w:r>
      <w:proofErr w:type="spellStart"/>
      <w:r>
        <w:rPr>
          <w:rFonts w:ascii="Arial" w:hAnsi="Arial" w:cs="Arial"/>
          <w:b/>
        </w:rPr>
        <w:t>University</w:t>
      </w:r>
      <w:proofErr w:type="spellEnd"/>
      <w:r>
        <w:rPr>
          <w:rFonts w:ascii="Arial" w:hAnsi="Arial" w:cs="Arial"/>
          <w:b/>
        </w:rPr>
        <w:t xml:space="preserve"> of Rouen &amp; </w:t>
      </w:r>
      <w:proofErr w:type="spellStart"/>
      <w:r>
        <w:rPr>
          <w:rFonts w:ascii="Arial" w:hAnsi="Arial" w:cs="Arial"/>
          <w:b/>
        </w:rPr>
        <w:t>University</w:t>
      </w:r>
      <w:proofErr w:type="spellEnd"/>
      <w:r>
        <w:rPr>
          <w:rFonts w:ascii="Arial" w:hAnsi="Arial" w:cs="Arial"/>
          <w:b/>
        </w:rPr>
        <w:t xml:space="preserve"> of Antilles,</w:t>
      </w:r>
      <w:r w:rsidRPr="00360E3E">
        <w:rPr>
          <w:rFonts w:ascii="Arial" w:hAnsi="Arial" w:cs="Arial"/>
          <w:b/>
        </w:rPr>
        <w:t xml:space="preserve"> </w:t>
      </w:r>
      <w:r>
        <w:rPr>
          <w:rFonts w:ascii="Arial" w:hAnsi="Arial" w:cs="Arial"/>
          <w:b/>
        </w:rPr>
        <w:t xml:space="preserve">France </w:t>
      </w:r>
    </w:p>
    <w:p w:rsidR="00732FE3" w:rsidRPr="00360E3E" w:rsidRDefault="004E0C67" w:rsidP="00732FE3">
      <w:pPr>
        <w:rPr>
          <w:rFonts w:ascii="Arial" w:hAnsi="Arial" w:cs="Arial"/>
          <w:b/>
        </w:rPr>
      </w:pPr>
      <w:r>
        <w:rPr>
          <w:rFonts w:ascii="Arial" w:hAnsi="Arial" w:cs="Arial"/>
          <w:b/>
        </w:rPr>
        <w:t xml:space="preserve">Jérôme </w:t>
      </w:r>
      <w:r w:rsidR="00786FEC">
        <w:rPr>
          <w:rFonts w:ascii="Arial" w:hAnsi="Arial" w:cs="Arial"/>
          <w:b/>
        </w:rPr>
        <w:t xml:space="preserve">Schoenmaeckers, </w:t>
      </w:r>
      <w:proofErr w:type="spellStart"/>
      <w:r>
        <w:rPr>
          <w:rFonts w:ascii="Arial" w:hAnsi="Arial" w:cs="Arial"/>
          <w:b/>
        </w:rPr>
        <w:t>University</w:t>
      </w:r>
      <w:proofErr w:type="spellEnd"/>
      <w:r>
        <w:rPr>
          <w:rFonts w:ascii="Arial" w:hAnsi="Arial" w:cs="Arial"/>
          <w:b/>
        </w:rPr>
        <w:t xml:space="preserve"> of </w:t>
      </w:r>
      <w:proofErr w:type="spellStart"/>
      <w:r>
        <w:rPr>
          <w:rFonts w:ascii="Arial" w:hAnsi="Arial" w:cs="Arial"/>
          <w:b/>
        </w:rPr>
        <w:t>Liege</w:t>
      </w:r>
      <w:proofErr w:type="spellEnd"/>
      <w:r>
        <w:rPr>
          <w:rFonts w:ascii="Arial" w:hAnsi="Arial" w:cs="Arial"/>
          <w:b/>
        </w:rPr>
        <w:t xml:space="preserve">, </w:t>
      </w:r>
      <w:proofErr w:type="spellStart"/>
      <w:r>
        <w:rPr>
          <w:rFonts w:ascii="Arial" w:hAnsi="Arial" w:cs="Arial"/>
          <w:b/>
        </w:rPr>
        <w:t>Belgium</w:t>
      </w:r>
      <w:proofErr w:type="spellEnd"/>
    </w:p>
    <w:p w:rsidR="00786FEC" w:rsidRDefault="00786FEC" w:rsidP="002E3F3B">
      <w:pPr>
        <w:jc w:val="both"/>
        <w:rPr>
          <w:rFonts w:ascii="Arial" w:hAnsi="Arial" w:cs="Arial"/>
          <w:b/>
        </w:rPr>
      </w:pPr>
    </w:p>
    <w:p w:rsidR="00732FE3" w:rsidRPr="00B637E5" w:rsidRDefault="00732FE3" w:rsidP="002E3F3B">
      <w:pPr>
        <w:jc w:val="both"/>
        <w:rPr>
          <w:rFonts w:ascii="Arial" w:hAnsi="Arial" w:cs="Arial"/>
          <w:lang w:val="en-US"/>
        </w:rPr>
      </w:pPr>
      <w:r w:rsidRPr="00B637E5">
        <w:rPr>
          <w:rFonts w:ascii="Arial" w:hAnsi="Arial" w:cs="Arial"/>
          <w:lang w:val="en-US"/>
        </w:rPr>
        <w:t>The theory of the commons developed with t</w:t>
      </w:r>
      <w:r w:rsidR="004D7678">
        <w:rPr>
          <w:rFonts w:ascii="Arial" w:hAnsi="Arial" w:cs="Arial"/>
          <w:lang w:val="en-US"/>
        </w:rPr>
        <w:t xml:space="preserve">he work of </w:t>
      </w:r>
      <w:proofErr w:type="spellStart"/>
      <w:r w:rsidR="004D7678">
        <w:rPr>
          <w:rFonts w:ascii="Arial" w:hAnsi="Arial" w:cs="Arial"/>
          <w:lang w:val="en-US"/>
        </w:rPr>
        <w:t>Elinor</w:t>
      </w:r>
      <w:proofErr w:type="spellEnd"/>
      <w:r w:rsidR="004D7678">
        <w:rPr>
          <w:rFonts w:ascii="Arial" w:hAnsi="Arial" w:cs="Arial"/>
          <w:lang w:val="en-US"/>
        </w:rPr>
        <w:t xml:space="preserve"> </w:t>
      </w:r>
      <w:proofErr w:type="spellStart"/>
      <w:r w:rsidR="004D7678">
        <w:rPr>
          <w:rFonts w:ascii="Arial" w:hAnsi="Arial" w:cs="Arial"/>
          <w:lang w:val="en-US"/>
        </w:rPr>
        <w:t>Ostrom</w:t>
      </w:r>
      <w:proofErr w:type="spellEnd"/>
      <w:r w:rsidR="004D7678">
        <w:rPr>
          <w:rFonts w:ascii="Arial" w:hAnsi="Arial" w:cs="Arial"/>
          <w:lang w:val="en-US"/>
        </w:rPr>
        <w:t xml:space="preserve"> and her</w:t>
      </w:r>
      <w:r w:rsidRPr="00B637E5">
        <w:rPr>
          <w:rFonts w:ascii="Arial" w:hAnsi="Arial" w:cs="Arial"/>
          <w:lang w:val="en-US"/>
        </w:rPr>
        <w:t xml:space="preserve"> disciples has shown the relevance of governance as well as the social utility of the production of shared and jointly managed goods. They radically challenged Hardin's common goods curse thesis and took the opposite view to the property rights theory initiated by </w:t>
      </w:r>
      <w:proofErr w:type="spellStart"/>
      <w:r w:rsidRPr="00B637E5">
        <w:rPr>
          <w:rFonts w:ascii="Arial" w:hAnsi="Arial" w:cs="Arial"/>
          <w:lang w:val="en-US"/>
        </w:rPr>
        <w:t>Alchian</w:t>
      </w:r>
      <w:proofErr w:type="spellEnd"/>
      <w:r w:rsidRPr="00B637E5">
        <w:rPr>
          <w:rFonts w:ascii="Arial" w:hAnsi="Arial" w:cs="Arial"/>
          <w:lang w:val="en-US"/>
        </w:rPr>
        <w:t xml:space="preserve"> and </w:t>
      </w:r>
      <w:proofErr w:type="spellStart"/>
      <w:r w:rsidRPr="00B637E5">
        <w:rPr>
          <w:rFonts w:ascii="Arial" w:hAnsi="Arial" w:cs="Arial"/>
          <w:lang w:val="en-US"/>
        </w:rPr>
        <w:t>Demsetz</w:t>
      </w:r>
      <w:proofErr w:type="spellEnd"/>
      <w:r w:rsidRPr="00B637E5">
        <w:rPr>
          <w:rFonts w:ascii="Arial" w:hAnsi="Arial" w:cs="Arial"/>
          <w:lang w:val="en-US"/>
        </w:rPr>
        <w:t xml:space="preserve">. As </w:t>
      </w:r>
      <w:proofErr w:type="spellStart"/>
      <w:r w:rsidRPr="00B637E5">
        <w:rPr>
          <w:rFonts w:ascii="Arial" w:hAnsi="Arial" w:cs="Arial"/>
          <w:lang w:val="en-US"/>
        </w:rPr>
        <w:t>Coriat</w:t>
      </w:r>
      <w:proofErr w:type="spellEnd"/>
      <w:r w:rsidRPr="00B637E5">
        <w:rPr>
          <w:rFonts w:ascii="Arial" w:hAnsi="Arial" w:cs="Arial"/>
          <w:lang w:val="en-US"/>
        </w:rPr>
        <w:t xml:space="preserve"> shows, however, exclusive and private access to resources has increased in recent decades, particularly on knowledge and technology; the most tangible manifestation being the rise of patents in the life sciences or software. The growing importance of exclusive private rights over productive resources and essential goods and services leads t</w:t>
      </w:r>
      <w:r w:rsidR="002E3F3B" w:rsidRPr="00B637E5">
        <w:rPr>
          <w:rFonts w:ascii="Arial" w:hAnsi="Arial" w:cs="Arial"/>
          <w:lang w:val="en-US"/>
        </w:rPr>
        <w:t xml:space="preserve">o the term "Tragedy of the </w:t>
      </w:r>
      <w:proofErr w:type="spellStart"/>
      <w:r w:rsidR="002E3F3B" w:rsidRPr="00B637E5">
        <w:rPr>
          <w:rFonts w:ascii="Arial" w:hAnsi="Arial" w:cs="Arial"/>
          <w:lang w:val="en-US"/>
        </w:rPr>
        <w:t>Anti</w:t>
      </w:r>
      <w:r w:rsidRPr="00B637E5">
        <w:rPr>
          <w:rFonts w:ascii="Arial" w:hAnsi="Arial" w:cs="Arial"/>
          <w:lang w:val="en-US"/>
        </w:rPr>
        <w:t>comm</w:t>
      </w:r>
      <w:r w:rsidR="002E3F3B" w:rsidRPr="00B637E5">
        <w:rPr>
          <w:rFonts w:ascii="Arial" w:hAnsi="Arial" w:cs="Arial"/>
          <w:lang w:val="en-US"/>
        </w:rPr>
        <w:t>ons</w:t>
      </w:r>
      <w:proofErr w:type="spellEnd"/>
      <w:r w:rsidR="002E3F3B" w:rsidRPr="00B637E5">
        <w:rPr>
          <w:rFonts w:ascii="Arial" w:hAnsi="Arial" w:cs="Arial"/>
          <w:lang w:val="en-US"/>
        </w:rPr>
        <w:t>" according to Heller</w:t>
      </w:r>
      <w:r w:rsidRPr="00B637E5">
        <w:rPr>
          <w:rFonts w:ascii="Arial" w:hAnsi="Arial" w:cs="Arial"/>
          <w:lang w:val="en-US"/>
        </w:rPr>
        <w:t xml:space="preserve">. To preserve the collective interest, it is necessary to guarantee and develop open and shared access for essential goods and resources, in particular through the public domain or production by the </w:t>
      </w:r>
      <w:r w:rsidR="002E3F3B" w:rsidRPr="00B637E5">
        <w:rPr>
          <w:rFonts w:ascii="Arial" w:hAnsi="Arial" w:cs="Arial"/>
          <w:lang w:val="en-US"/>
        </w:rPr>
        <w:t>commons</w:t>
      </w:r>
      <w:r w:rsidRPr="00B637E5">
        <w:rPr>
          <w:rFonts w:ascii="Arial" w:hAnsi="Arial" w:cs="Arial"/>
          <w:lang w:val="en-US"/>
        </w:rPr>
        <w:t xml:space="preserve">. </w:t>
      </w:r>
    </w:p>
    <w:p w:rsidR="002E3F3B" w:rsidRPr="00B637E5" w:rsidRDefault="002E3F3B" w:rsidP="002E3F3B">
      <w:pPr>
        <w:jc w:val="both"/>
        <w:rPr>
          <w:rFonts w:ascii="Arial" w:hAnsi="Arial" w:cs="Arial"/>
          <w:lang w:val="en-US"/>
        </w:rPr>
      </w:pPr>
      <w:r w:rsidRPr="00B637E5">
        <w:rPr>
          <w:rFonts w:ascii="Arial" w:hAnsi="Arial" w:cs="Arial"/>
          <w:lang w:val="en-US"/>
        </w:rPr>
        <w:t>Various forms of production of common goods have been deployed in recent decades to offer alternatives to exclusive property rights and to allow open and shared access. This is particularly the case with open technology and free software. The joint production of public goods by public and social and solidarity economy (SSE) organizations is another way of expressing the pooling of resources to produce public goods (CIRIEC, 2018). The historical activities of SSE organizations, implemented in various ways throughout the world, also allow making productive resources and/or goods and services available to a greater or lesser number of beneficiaries.</w:t>
      </w:r>
    </w:p>
    <w:p w:rsidR="00360E3E" w:rsidRPr="00B637E5" w:rsidRDefault="002E3F3B" w:rsidP="002E3F3B">
      <w:pPr>
        <w:jc w:val="both"/>
        <w:rPr>
          <w:rFonts w:ascii="Arial" w:hAnsi="Arial" w:cs="Arial"/>
          <w:lang w:val="en-US"/>
        </w:rPr>
      </w:pPr>
      <w:r w:rsidRPr="00B637E5">
        <w:rPr>
          <w:rFonts w:ascii="Arial" w:hAnsi="Arial" w:cs="Arial"/>
          <w:lang w:val="en-US"/>
        </w:rPr>
        <w:t xml:space="preserve">The deployment of commons leads to an analysis of their characteristics and the ways in which stakeholders are involved in the work, explaining </w:t>
      </w:r>
      <w:r w:rsidR="00360E3E" w:rsidRPr="00B637E5">
        <w:rPr>
          <w:rFonts w:ascii="Arial" w:hAnsi="Arial" w:cs="Arial"/>
          <w:lang w:val="en-US"/>
        </w:rPr>
        <w:t>how</w:t>
      </w:r>
      <w:r w:rsidRPr="00B637E5">
        <w:rPr>
          <w:rFonts w:ascii="Arial" w:hAnsi="Arial" w:cs="Arial"/>
          <w:lang w:val="en-US"/>
        </w:rPr>
        <w:t xml:space="preserve"> they contribute or can contribute for open and shared access to resources or goods and services, particularly if they are essential. It also leads to the clarification of the forms of governance at work in order to grasp their contributions and potentialities in terms of the expanded production of public or common goods. This also leads to the clarification of the characteristics of new organizational forms that make it possible to involve stakeholders jointly and more broadly in governance. It is also a question of examining the economic repercussions and</w:t>
      </w:r>
      <w:r w:rsidR="00360E3E" w:rsidRPr="00B637E5">
        <w:rPr>
          <w:rFonts w:ascii="Arial" w:hAnsi="Arial" w:cs="Arial"/>
          <w:lang w:val="en-US"/>
        </w:rPr>
        <w:t xml:space="preserve"> the</w:t>
      </w:r>
      <w:r w:rsidRPr="00B637E5">
        <w:rPr>
          <w:rFonts w:ascii="Arial" w:hAnsi="Arial" w:cs="Arial"/>
          <w:lang w:val="en-US"/>
        </w:rPr>
        <w:t xml:space="preserve"> </w:t>
      </w:r>
      <w:r w:rsidR="00360E3E" w:rsidRPr="00B637E5">
        <w:rPr>
          <w:rFonts w:ascii="Arial" w:hAnsi="Arial" w:cs="Arial"/>
          <w:lang w:val="en-US"/>
        </w:rPr>
        <w:t xml:space="preserve">future prospects of </w:t>
      </w:r>
      <w:r w:rsidRPr="00B637E5">
        <w:rPr>
          <w:rFonts w:ascii="Arial" w:hAnsi="Arial" w:cs="Arial"/>
          <w:lang w:val="en-US"/>
        </w:rPr>
        <w:t>resource</w:t>
      </w:r>
      <w:r w:rsidR="00360E3E" w:rsidRPr="00B637E5">
        <w:rPr>
          <w:rFonts w:ascii="Arial" w:hAnsi="Arial" w:cs="Arial"/>
          <w:lang w:val="en-US"/>
        </w:rPr>
        <w:t xml:space="preserve"> joint</w:t>
      </w:r>
      <w:r w:rsidRPr="00B637E5">
        <w:rPr>
          <w:rFonts w:ascii="Arial" w:hAnsi="Arial" w:cs="Arial"/>
          <w:lang w:val="en-US"/>
        </w:rPr>
        <w:t xml:space="preserve"> management practices. Finally, it is useful to explain the contributive capacity of these </w:t>
      </w:r>
      <w:r w:rsidR="00360E3E" w:rsidRPr="00B637E5">
        <w:rPr>
          <w:rFonts w:ascii="Arial" w:hAnsi="Arial" w:cs="Arial"/>
          <w:lang w:val="en-US"/>
        </w:rPr>
        <w:t>governances</w:t>
      </w:r>
      <w:r w:rsidRPr="00B637E5">
        <w:rPr>
          <w:rFonts w:ascii="Arial" w:hAnsi="Arial" w:cs="Arial"/>
          <w:lang w:val="en-US"/>
        </w:rPr>
        <w:t xml:space="preserve"> to the emergence of new paradigms of collective action, in particular through collaborations between or with public authorities.</w:t>
      </w:r>
    </w:p>
    <w:p w:rsidR="00360E3E" w:rsidRPr="00B637E5" w:rsidRDefault="00360E3E" w:rsidP="00360E3E">
      <w:pPr>
        <w:jc w:val="both"/>
        <w:rPr>
          <w:rFonts w:ascii="Arial" w:hAnsi="Arial" w:cs="Arial"/>
          <w:lang w:val="en-US"/>
        </w:rPr>
      </w:pPr>
      <w:r w:rsidRPr="00B637E5">
        <w:rPr>
          <w:rFonts w:ascii="Arial" w:hAnsi="Arial" w:cs="Arial"/>
          <w:lang w:val="en-US"/>
        </w:rPr>
        <w:t>The purpose of the special issue of the Annals is thus to provide answers to the following questions:</w:t>
      </w:r>
    </w:p>
    <w:p w:rsidR="00360E3E" w:rsidRPr="00B637E5" w:rsidRDefault="00360E3E" w:rsidP="00B637E5">
      <w:pPr>
        <w:ind w:left="708"/>
        <w:jc w:val="both"/>
        <w:rPr>
          <w:rFonts w:ascii="Arial" w:hAnsi="Arial" w:cs="Arial"/>
          <w:lang w:val="en-US"/>
        </w:rPr>
      </w:pPr>
      <w:r w:rsidRPr="00B637E5">
        <w:rPr>
          <w:rFonts w:ascii="Arial" w:hAnsi="Arial" w:cs="Arial"/>
          <w:lang w:val="en-US"/>
        </w:rPr>
        <w:lastRenderedPageBreak/>
        <w:t>- What are the characteristics of new forms of commons and their particular contribution to open and shared access to resources and essential goods and services?</w:t>
      </w:r>
    </w:p>
    <w:p w:rsidR="00360E3E" w:rsidRPr="00B637E5" w:rsidRDefault="00360E3E" w:rsidP="00B637E5">
      <w:pPr>
        <w:ind w:left="708"/>
        <w:jc w:val="both"/>
        <w:rPr>
          <w:rFonts w:ascii="Arial" w:hAnsi="Arial" w:cs="Arial"/>
          <w:lang w:val="en-US"/>
        </w:rPr>
      </w:pPr>
      <w:r w:rsidRPr="00B637E5">
        <w:rPr>
          <w:rFonts w:ascii="Arial" w:hAnsi="Arial" w:cs="Arial"/>
          <w:lang w:val="en-US"/>
        </w:rPr>
        <w:t>- What relationships can be established between the nature of the common and the scope of access to resources and goods and services?</w:t>
      </w:r>
    </w:p>
    <w:p w:rsidR="00360E3E" w:rsidRPr="00B637E5" w:rsidRDefault="00360E3E" w:rsidP="00B637E5">
      <w:pPr>
        <w:ind w:left="708"/>
        <w:jc w:val="both"/>
        <w:rPr>
          <w:rFonts w:ascii="Arial" w:hAnsi="Arial" w:cs="Arial"/>
          <w:lang w:val="en-US"/>
        </w:rPr>
      </w:pPr>
      <w:r w:rsidRPr="00B637E5">
        <w:rPr>
          <w:rFonts w:ascii="Arial" w:hAnsi="Arial" w:cs="Arial"/>
          <w:lang w:val="en-US"/>
        </w:rPr>
        <w:t>- How do traditional social and solidarity economy organizations and emerging or growing organizational forms constitute particular opportunities for open and shared access to resources and goods and services?</w:t>
      </w:r>
    </w:p>
    <w:p w:rsidR="00360E3E" w:rsidRPr="00B637E5" w:rsidRDefault="00360E3E" w:rsidP="00B637E5">
      <w:pPr>
        <w:ind w:left="708"/>
        <w:jc w:val="both"/>
        <w:rPr>
          <w:rFonts w:ascii="Arial" w:hAnsi="Arial" w:cs="Arial"/>
          <w:lang w:val="en-US"/>
        </w:rPr>
      </w:pPr>
      <w:r w:rsidRPr="00B637E5">
        <w:rPr>
          <w:rFonts w:ascii="Arial" w:hAnsi="Arial" w:cs="Arial"/>
          <w:lang w:val="en-US"/>
        </w:rPr>
        <w:t>- Why and how do the forms of governance implemented by the commons offer prospects for inclusive resource management for their stakeholders?</w:t>
      </w:r>
    </w:p>
    <w:p w:rsidR="00360E3E" w:rsidRPr="00B637E5" w:rsidRDefault="00360E3E" w:rsidP="00B637E5">
      <w:pPr>
        <w:ind w:left="708"/>
        <w:jc w:val="both"/>
        <w:rPr>
          <w:rFonts w:ascii="Arial" w:hAnsi="Arial" w:cs="Arial"/>
          <w:lang w:val="en-US"/>
        </w:rPr>
      </w:pPr>
      <w:r w:rsidRPr="00B637E5">
        <w:rPr>
          <w:rFonts w:ascii="Arial" w:hAnsi="Arial" w:cs="Arial"/>
          <w:lang w:val="en-US"/>
        </w:rPr>
        <w:t xml:space="preserve">- How do the forms of governance that are deployed with the commons make it possible to broaden cooperation between actors or between organizations? </w:t>
      </w:r>
    </w:p>
    <w:p w:rsidR="00360E3E" w:rsidRPr="00B637E5" w:rsidRDefault="00360E3E" w:rsidP="00B637E5">
      <w:pPr>
        <w:ind w:left="708"/>
        <w:jc w:val="both"/>
        <w:rPr>
          <w:rFonts w:ascii="Arial" w:hAnsi="Arial" w:cs="Arial"/>
          <w:lang w:val="en-US"/>
        </w:rPr>
      </w:pPr>
      <w:r w:rsidRPr="00B637E5">
        <w:rPr>
          <w:rFonts w:ascii="Arial" w:hAnsi="Arial" w:cs="Arial"/>
          <w:lang w:val="en-US"/>
        </w:rPr>
        <w:t>- What are the current and potential repercussions of the deployment of commons on the implementation of public action and more broadly on the paradigm</w:t>
      </w:r>
      <w:r w:rsidR="00B637E5" w:rsidRPr="00B637E5">
        <w:rPr>
          <w:rFonts w:ascii="Arial" w:hAnsi="Arial" w:cs="Arial"/>
          <w:lang w:val="en-US"/>
        </w:rPr>
        <w:t xml:space="preserve"> of the collective action</w:t>
      </w:r>
      <w:r w:rsidRPr="00B637E5">
        <w:rPr>
          <w:rFonts w:ascii="Arial" w:hAnsi="Arial" w:cs="Arial"/>
          <w:lang w:val="en-US"/>
        </w:rPr>
        <w:t>?</w:t>
      </w:r>
    </w:p>
    <w:p w:rsidR="00360E3E" w:rsidRPr="00B637E5" w:rsidRDefault="00360E3E" w:rsidP="00360E3E">
      <w:pPr>
        <w:jc w:val="both"/>
        <w:rPr>
          <w:rFonts w:ascii="Arial" w:hAnsi="Arial" w:cs="Arial"/>
          <w:lang w:val="en-US"/>
        </w:rPr>
      </w:pPr>
      <w:r w:rsidRPr="00B637E5">
        <w:rPr>
          <w:rFonts w:ascii="Arial" w:hAnsi="Arial" w:cs="Arial"/>
          <w:lang w:val="en-US"/>
        </w:rPr>
        <w:t>This special issue of the Annals aims to provide research results on these themes.</w:t>
      </w:r>
    </w:p>
    <w:p w:rsidR="00B637E5" w:rsidRPr="00B637E5" w:rsidRDefault="00B637E5" w:rsidP="00B637E5">
      <w:pPr>
        <w:jc w:val="both"/>
        <w:rPr>
          <w:rFonts w:ascii="Arial" w:hAnsi="Arial" w:cs="Arial"/>
          <w:lang w:val="en-US"/>
        </w:rPr>
      </w:pPr>
    </w:p>
    <w:p w:rsidR="00B637E5" w:rsidRPr="00B637E5" w:rsidRDefault="00B637E5" w:rsidP="00B637E5">
      <w:pPr>
        <w:jc w:val="both"/>
        <w:rPr>
          <w:rFonts w:ascii="Arial" w:hAnsi="Arial" w:cs="Arial"/>
          <w:b/>
          <w:lang w:val="en-US"/>
        </w:rPr>
      </w:pPr>
      <w:r w:rsidRPr="00B637E5">
        <w:rPr>
          <w:rFonts w:ascii="Arial" w:hAnsi="Arial" w:cs="Arial"/>
          <w:b/>
          <w:lang w:val="en-US"/>
        </w:rPr>
        <w:t>References:</w:t>
      </w:r>
    </w:p>
    <w:p w:rsidR="00B637E5" w:rsidRPr="00B637E5" w:rsidRDefault="00B637E5" w:rsidP="00B637E5">
      <w:pPr>
        <w:jc w:val="both"/>
        <w:rPr>
          <w:rFonts w:ascii="Arial" w:hAnsi="Arial" w:cs="Arial"/>
          <w:lang w:val="en-US"/>
        </w:rPr>
      </w:pPr>
      <w:proofErr w:type="spellStart"/>
      <w:r w:rsidRPr="00B637E5">
        <w:rPr>
          <w:rFonts w:ascii="Arial" w:hAnsi="Arial" w:cs="Arial"/>
          <w:lang w:val="en-US"/>
        </w:rPr>
        <w:t>Alchian</w:t>
      </w:r>
      <w:proofErr w:type="spellEnd"/>
      <w:r w:rsidRPr="00B637E5">
        <w:rPr>
          <w:rFonts w:ascii="Arial" w:hAnsi="Arial" w:cs="Arial"/>
          <w:lang w:val="en-US"/>
        </w:rPr>
        <w:t xml:space="preserve"> A et </w:t>
      </w:r>
      <w:proofErr w:type="spellStart"/>
      <w:r w:rsidRPr="00B637E5">
        <w:rPr>
          <w:rFonts w:ascii="Arial" w:hAnsi="Arial" w:cs="Arial"/>
          <w:lang w:val="en-US"/>
        </w:rPr>
        <w:t>Demsetz</w:t>
      </w:r>
      <w:proofErr w:type="spellEnd"/>
      <w:r w:rsidRPr="00B637E5">
        <w:rPr>
          <w:rFonts w:ascii="Arial" w:hAnsi="Arial" w:cs="Arial"/>
          <w:lang w:val="en-US"/>
        </w:rPr>
        <w:t xml:space="preserve"> H, 1972, </w:t>
      </w:r>
      <w:r w:rsidRPr="00B637E5">
        <w:rPr>
          <w:rFonts w:ascii="Arial" w:hAnsi="Arial" w:cs="Arial"/>
          <w:color w:val="222222"/>
          <w:shd w:val="clear" w:color="auto" w:fill="FFFFFF"/>
          <w:lang w:val="en-US"/>
        </w:rPr>
        <w:t xml:space="preserve">« Production, Information Costs, and Economic Organization », </w:t>
      </w:r>
      <w:r w:rsidRPr="00B637E5">
        <w:rPr>
          <w:rFonts w:ascii="Arial" w:hAnsi="Arial" w:cs="Arial"/>
          <w:i/>
          <w:color w:val="222222"/>
          <w:shd w:val="clear" w:color="auto" w:fill="FFFFFF"/>
          <w:lang w:val="en-US"/>
        </w:rPr>
        <w:t>The American Economic Review</w:t>
      </w:r>
      <w:r w:rsidRPr="00B637E5">
        <w:rPr>
          <w:rFonts w:ascii="Arial" w:hAnsi="Arial" w:cs="Arial"/>
          <w:color w:val="222222"/>
          <w:shd w:val="clear" w:color="auto" w:fill="FFFFFF"/>
          <w:lang w:val="en-US"/>
        </w:rPr>
        <w:t>, 62 (5</w:t>
      </w:r>
      <w:r w:rsidRPr="00B637E5">
        <w:rPr>
          <w:rFonts w:ascii="Arial" w:hAnsi="Arial" w:cs="Arial"/>
          <w:lang w:val="en-US"/>
        </w:rPr>
        <w:t>)</w:t>
      </w:r>
    </w:p>
    <w:p w:rsidR="00B637E5" w:rsidRDefault="00B637E5" w:rsidP="00B637E5">
      <w:pPr>
        <w:jc w:val="both"/>
        <w:rPr>
          <w:rFonts w:ascii="Arial" w:hAnsi="Arial" w:cs="Arial"/>
          <w:lang w:val="en-US"/>
        </w:rPr>
      </w:pPr>
      <w:r w:rsidRPr="00B637E5">
        <w:rPr>
          <w:rFonts w:ascii="Arial" w:hAnsi="Arial" w:cs="Arial"/>
          <w:lang w:val="en-US"/>
        </w:rPr>
        <w:t xml:space="preserve">CIRIEC, 2018, P. </w:t>
      </w:r>
      <w:proofErr w:type="spellStart"/>
      <w:r w:rsidRPr="00B637E5">
        <w:rPr>
          <w:rFonts w:ascii="Arial" w:hAnsi="Arial" w:cs="Arial"/>
          <w:lang w:val="en-US"/>
        </w:rPr>
        <w:t>Bance</w:t>
      </w:r>
      <w:proofErr w:type="spellEnd"/>
      <w:r w:rsidRPr="00B637E5">
        <w:rPr>
          <w:rFonts w:ascii="Arial" w:hAnsi="Arial" w:cs="Arial"/>
          <w:lang w:val="en-US"/>
        </w:rPr>
        <w:t xml:space="preserve"> (dir.), Providing public goods and commons. </w:t>
      </w:r>
      <w:r w:rsidRPr="000F29C3">
        <w:rPr>
          <w:rFonts w:ascii="Arial" w:hAnsi="Arial" w:cs="Arial"/>
          <w:lang w:val="en-US"/>
        </w:rPr>
        <w:t xml:space="preserve">Toward a paradigm shift of public action ? », </w:t>
      </w:r>
      <w:r w:rsidR="000F29C3" w:rsidRPr="000F29C3">
        <w:rPr>
          <w:rFonts w:ascii="Arial" w:hAnsi="Arial" w:cs="Arial"/>
          <w:lang w:val="en-US"/>
        </w:rPr>
        <w:t xml:space="preserve">Series  n°1,  March,  in  open access </w:t>
      </w:r>
      <w:hyperlink r:id="rId6" w:history="1">
        <w:r w:rsidR="000F29C3" w:rsidRPr="00656C0D">
          <w:rPr>
            <w:rStyle w:val="Lienhypertexte"/>
            <w:rFonts w:ascii="Arial" w:hAnsi="Arial" w:cs="Arial"/>
            <w:lang w:val="en-US"/>
          </w:rPr>
          <w:t>http://www.ciriec.uliege.be/publications/ouvrages/providing-public-goods-and-commons/</w:t>
        </w:r>
      </w:hyperlink>
    </w:p>
    <w:p w:rsidR="00B637E5" w:rsidRPr="00B637E5" w:rsidRDefault="00B637E5" w:rsidP="00B637E5">
      <w:pPr>
        <w:jc w:val="both"/>
        <w:rPr>
          <w:rFonts w:ascii="Arial" w:hAnsi="Arial" w:cs="Arial"/>
        </w:rPr>
      </w:pPr>
      <w:proofErr w:type="spellStart"/>
      <w:r w:rsidRPr="00B637E5">
        <w:rPr>
          <w:rFonts w:ascii="Arial" w:hAnsi="Arial" w:cs="Arial"/>
        </w:rPr>
        <w:t>Coriat</w:t>
      </w:r>
      <w:proofErr w:type="spellEnd"/>
      <w:r w:rsidRPr="00B637E5">
        <w:rPr>
          <w:rFonts w:ascii="Arial" w:hAnsi="Arial" w:cs="Arial"/>
        </w:rPr>
        <w:t xml:space="preserve"> B. (</w:t>
      </w:r>
      <w:proofErr w:type="spellStart"/>
      <w:r w:rsidRPr="00B637E5">
        <w:rPr>
          <w:rFonts w:ascii="Arial" w:hAnsi="Arial" w:cs="Arial"/>
        </w:rPr>
        <w:t>dir</w:t>
      </w:r>
      <w:proofErr w:type="spellEnd"/>
      <w:r w:rsidRPr="00B637E5">
        <w:rPr>
          <w:rFonts w:ascii="Arial" w:hAnsi="Arial" w:cs="Arial"/>
        </w:rPr>
        <w:t xml:space="preserve">.), 2015, </w:t>
      </w:r>
      <w:r w:rsidRPr="00B637E5">
        <w:rPr>
          <w:rFonts w:ascii="Arial" w:hAnsi="Arial" w:cs="Arial"/>
          <w:i/>
        </w:rPr>
        <w:t>Le retour des communs. La crise de l’idéologie propriétaire</w:t>
      </w:r>
      <w:r w:rsidRPr="00B637E5">
        <w:rPr>
          <w:rFonts w:ascii="Arial" w:hAnsi="Arial" w:cs="Arial"/>
        </w:rPr>
        <w:t>, </w:t>
      </w:r>
      <w:r w:rsidR="000F29C3" w:rsidRPr="000F29C3">
        <w:rPr>
          <w:rFonts w:ascii="Arial" w:hAnsi="Arial" w:cs="Arial"/>
        </w:rPr>
        <w:t>Paris, L</w:t>
      </w:r>
      <w:r w:rsidR="000F29C3">
        <w:rPr>
          <w:rFonts w:ascii="Arial" w:hAnsi="Arial" w:cs="Arial"/>
        </w:rPr>
        <w:t>es Liens qui Libèrent, 297 p.</w:t>
      </w:r>
    </w:p>
    <w:p w:rsidR="00B637E5" w:rsidRPr="00B637E5" w:rsidRDefault="00B637E5" w:rsidP="00B637E5">
      <w:pPr>
        <w:jc w:val="both"/>
        <w:rPr>
          <w:rFonts w:ascii="Arial" w:hAnsi="Arial" w:cs="Arial"/>
          <w:shd w:val="clear" w:color="auto" w:fill="FFFFFF"/>
          <w:lang w:val="en-US"/>
        </w:rPr>
      </w:pPr>
      <w:r w:rsidRPr="00B637E5">
        <w:rPr>
          <w:rFonts w:ascii="Arial" w:hAnsi="Arial" w:cs="Arial"/>
          <w:lang w:val="en-US"/>
        </w:rPr>
        <w:t>Hardin</w:t>
      </w:r>
      <w:r w:rsidRPr="00B637E5">
        <w:rPr>
          <w:rFonts w:ascii="Arial" w:hAnsi="Arial" w:cs="Arial"/>
          <w:shd w:val="clear" w:color="auto" w:fill="FFFFFF"/>
          <w:lang w:val="en-US"/>
        </w:rPr>
        <w:t xml:space="preserve"> G, 1968, </w:t>
      </w:r>
      <w:hyperlink r:id="rId7" w:history="1">
        <w:r w:rsidRPr="00B637E5">
          <w:rPr>
            <w:rStyle w:val="Lienhypertexte"/>
            <w:rFonts w:ascii="Arial" w:hAnsi="Arial" w:cs="Arial"/>
            <w:color w:val="auto"/>
            <w:u w:val="none"/>
            <w:shd w:val="clear" w:color="auto" w:fill="FFFFFF"/>
            <w:lang w:val="en-US"/>
          </w:rPr>
          <w:t>«The Tragedy of the Commons»</w:t>
        </w:r>
      </w:hyperlink>
      <w:r w:rsidRPr="00B637E5">
        <w:rPr>
          <w:rFonts w:ascii="Arial" w:hAnsi="Arial" w:cs="Arial"/>
          <w:shd w:val="clear" w:color="auto" w:fill="FFFFFF"/>
          <w:lang w:val="en-US"/>
        </w:rPr>
        <w:t xml:space="preserve">  </w:t>
      </w:r>
      <w:r w:rsidRPr="00B637E5">
        <w:rPr>
          <w:rFonts w:ascii="Arial" w:hAnsi="Arial" w:cs="Arial"/>
          <w:i/>
          <w:iCs/>
          <w:shd w:val="clear" w:color="auto" w:fill="FFFFFF"/>
          <w:lang w:val="en-US"/>
        </w:rPr>
        <w:t>Science</w:t>
      </w:r>
      <w:r w:rsidRPr="00B637E5">
        <w:rPr>
          <w:rFonts w:ascii="Arial" w:hAnsi="Arial" w:cs="Arial"/>
          <w:shd w:val="clear" w:color="auto" w:fill="FFFFFF"/>
          <w:lang w:val="en-US"/>
        </w:rPr>
        <w:t xml:space="preserve">, </w:t>
      </w:r>
      <w:r w:rsidRPr="00B637E5">
        <w:rPr>
          <w:rFonts w:ascii="Arial" w:hAnsi="Arial" w:cs="Arial"/>
          <w:bCs/>
          <w:shd w:val="clear" w:color="auto" w:fill="FFFFFF"/>
          <w:lang w:val="en-US"/>
        </w:rPr>
        <w:t>162</w:t>
      </w:r>
      <w:r w:rsidRPr="00B637E5">
        <w:rPr>
          <w:rFonts w:ascii="Arial" w:hAnsi="Arial" w:cs="Arial"/>
          <w:shd w:val="clear" w:color="auto" w:fill="FFFFFF"/>
          <w:lang w:val="en-US"/>
        </w:rPr>
        <w:t> (3859)</w:t>
      </w:r>
    </w:p>
    <w:p w:rsidR="00B637E5" w:rsidRPr="00B637E5" w:rsidRDefault="00B637E5" w:rsidP="00B637E5">
      <w:pPr>
        <w:jc w:val="both"/>
        <w:rPr>
          <w:rFonts w:ascii="Arial" w:hAnsi="Arial" w:cs="Arial"/>
          <w:shd w:val="clear" w:color="auto" w:fill="FFFFFF"/>
          <w:lang w:val="en-US"/>
        </w:rPr>
      </w:pPr>
      <w:r w:rsidRPr="00B637E5">
        <w:rPr>
          <w:rFonts w:ascii="Arial" w:hAnsi="Arial" w:cs="Arial"/>
          <w:shd w:val="clear" w:color="auto" w:fill="FFFFFF"/>
          <w:lang w:val="en-US"/>
        </w:rPr>
        <w:t>Heller A,1998,  </w:t>
      </w:r>
      <w:hyperlink r:id="rId8" w:history="1">
        <w:r w:rsidRPr="00B637E5">
          <w:rPr>
            <w:rStyle w:val="Lienhypertexte"/>
            <w:rFonts w:ascii="Arial" w:hAnsi="Arial" w:cs="Arial"/>
            <w:color w:val="auto"/>
            <w:u w:val="none"/>
            <w:shd w:val="clear" w:color="auto" w:fill="FFFFFF"/>
            <w:lang w:val="en-US"/>
          </w:rPr>
          <w:t xml:space="preserve">"The tragedy of the </w:t>
        </w:r>
        <w:proofErr w:type="spellStart"/>
        <w:r w:rsidRPr="00B637E5">
          <w:rPr>
            <w:rStyle w:val="Lienhypertexte"/>
            <w:rFonts w:ascii="Arial" w:hAnsi="Arial" w:cs="Arial"/>
            <w:color w:val="auto"/>
            <w:u w:val="none"/>
            <w:shd w:val="clear" w:color="auto" w:fill="FFFFFF"/>
            <w:lang w:val="en-US"/>
          </w:rPr>
          <w:t>anticommons</w:t>
        </w:r>
        <w:proofErr w:type="spellEnd"/>
        <w:r w:rsidRPr="00B637E5">
          <w:rPr>
            <w:rStyle w:val="Lienhypertexte"/>
            <w:rFonts w:ascii="Arial" w:hAnsi="Arial" w:cs="Arial"/>
            <w:color w:val="auto"/>
            <w:u w:val="none"/>
            <w:shd w:val="clear" w:color="auto" w:fill="FFFFFF"/>
            <w:lang w:val="en-US"/>
          </w:rPr>
          <w:t>: property in the transition from Marx to markets"</w:t>
        </w:r>
      </w:hyperlink>
      <w:r w:rsidRPr="00B637E5">
        <w:rPr>
          <w:rFonts w:ascii="Arial" w:hAnsi="Arial" w:cs="Arial"/>
          <w:shd w:val="clear" w:color="auto" w:fill="FFFFFF"/>
          <w:lang w:val="en-US"/>
        </w:rPr>
        <w:t>. </w:t>
      </w:r>
      <w:r w:rsidRPr="00B637E5">
        <w:rPr>
          <w:rFonts w:ascii="Arial" w:hAnsi="Arial" w:cs="Arial"/>
          <w:i/>
          <w:iCs/>
          <w:shd w:val="clear" w:color="auto" w:fill="FFFFFF"/>
          <w:lang w:val="en-US"/>
        </w:rPr>
        <w:t>Harvard Law Review</w:t>
      </w:r>
      <w:r w:rsidRPr="00B637E5">
        <w:rPr>
          <w:rFonts w:ascii="Arial" w:hAnsi="Arial" w:cs="Arial"/>
          <w:shd w:val="clear" w:color="auto" w:fill="FFFFFF"/>
          <w:lang w:val="en-US"/>
        </w:rPr>
        <w:t>, </w:t>
      </w:r>
      <w:r w:rsidRPr="00B637E5">
        <w:rPr>
          <w:rFonts w:ascii="Arial" w:hAnsi="Arial" w:cs="Arial"/>
          <w:bCs/>
          <w:shd w:val="clear" w:color="auto" w:fill="FFFFFF"/>
          <w:lang w:val="en-US"/>
        </w:rPr>
        <w:t>111</w:t>
      </w:r>
      <w:r w:rsidRPr="00B637E5">
        <w:rPr>
          <w:rFonts w:ascii="Arial" w:hAnsi="Arial" w:cs="Arial"/>
          <w:shd w:val="clear" w:color="auto" w:fill="FFFFFF"/>
          <w:lang w:val="en-US"/>
        </w:rPr>
        <w:t> (3)</w:t>
      </w:r>
      <w:r w:rsidR="000F29C3">
        <w:rPr>
          <w:rFonts w:ascii="Arial" w:hAnsi="Arial" w:cs="Arial"/>
          <w:shd w:val="clear" w:color="auto" w:fill="FFFFFF"/>
          <w:lang w:val="en-US"/>
        </w:rPr>
        <w:t>.</w:t>
      </w:r>
    </w:p>
    <w:p w:rsidR="00B637E5" w:rsidRPr="00B637E5" w:rsidRDefault="00B637E5" w:rsidP="00B637E5">
      <w:pPr>
        <w:pStyle w:val="Titre1"/>
        <w:shd w:val="clear" w:color="auto" w:fill="FFFFFF"/>
        <w:spacing w:before="0" w:beforeAutospacing="0"/>
        <w:rPr>
          <w:rFonts w:ascii="Arial" w:hAnsi="Arial" w:cs="Arial"/>
          <w:sz w:val="22"/>
          <w:szCs w:val="22"/>
          <w:lang w:val="en-US"/>
        </w:rPr>
      </w:pPr>
      <w:proofErr w:type="spellStart"/>
      <w:r w:rsidRPr="00B637E5">
        <w:rPr>
          <w:rFonts w:ascii="Arial" w:hAnsi="Arial" w:cs="Arial"/>
          <w:b w:val="0"/>
          <w:sz w:val="22"/>
          <w:szCs w:val="22"/>
          <w:lang w:val="en-US"/>
        </w:rPr>
        <w:t>Ostrom</w:t>
      </w:r>
      <w:proofErr w:type="spellEnd"/>
      <w:r w:rsidRPr="00B637E5">
        <w:rPr>
          <w:rFonts w:ascii="Arial" w:hAnsi="Arial" w:cs="Arial"/>
          <w:b w:val="0"/>
          <w:sz w:val="22"/>
          <w:szCs w:val="22"/>
          <w:lang w:val="en-US"/>
        </w:rPr>
        <w:t xml:space="preserve"> E, 1990, </w:t>
      </w:r>
      <w:r w:rsidRPr="00B637E5">
        <w:rPr>
          <w:rFonts w:ascii="Arial" w:hAnsi="Arial" w:cs="Arial"/>
          <w:b w:val="0"/>
          <w:i/>
          <w:sz w:val="22"/>
          <w:szCs w:val="22"/>
          <w:lang w:val="en-US"/>
        </w:rPr>
        <w:t>Governing the Commons: The Evolution of Institutions for Collective Action</w:t>
      </w:r>
      <w:r w:rsidRPr="00B637E5">
        <w:rPr>
          <w:rFonts w:ascii="Arial" w:hAnsi="Arial" w:cs="Arial"/>
          <w:b w:val="0"/>
          <w:sz w:val="22"/>
          <w:szCs w:val="22"/>
          <w:lang w:val="en-US"/>
        </w:rPr>
        <w:t xml:space="preserve">, </w:t>
      </w:r>
      <w:r w:rsidRPr="00B637E5">
        <w:rPr>
          <w:rFonts w:ascii="Arial" w:hAnsi="Arial" w:cs="Arial"/>
          <w:b w:val="0"/>
          <w:sz w:val="22"/>
          <w:szCs w:val="22"/>
          <w:shd w:val="clear" w:color="auto" w:fill="FFFFFF"/>
          <w:lang w:val="en-US"/>
        </w:rPr>
        <w:t>Cambridge University Press</w:t>
      </w:r>
      <w:r w:rsidR="000F29C3">
        <w:rPr>
          <w:rFonts w:ascii="Arial" w:hAnsi="Arial" w:cs="Arial"/>
          <w:b w:val="0"/>
          <w:sz w:val="22"/>
          <w:szCs w:val="22"/>
          <w:shd w:val="clear" w:color="auto" w:fill="FFFFFF"/>
          <w:lang w:val="en-US"/>
        </w:rPr>
        <w:t>.</w:t>
      </w:r>
    </w:p>
    <w:p w:rsidR="00B637E5" w:rsidRPr="00BA41B6" w:rsidRDefault="00B637E5" w:rsidP="00B637E5">
      <w:pPr>
        <w:jc w:val="both"/>
        <w:rPr>
          <w:rFonts w:ascii="Arial" w:hAnsi="Arial" w:cs="Arial"/>
          <w:b/>
          <w:lang w:val="en-US"/>
        </w:rPr>
      </w:pPr>
      <w:r w:rsidRPr="00B637E5">
        <w:rPr>
          <w:rFonts w:ascii="Arial" w:hAnsi="Arial" w:cs="Arial"/>
          <w:b/>
          <w:lang w:val="en-US"/>
        </w:rPr>
        <w:t xml:space="preserve">Timeline: </w:t>
      </w:r>
    </w:p>
    <w:p w:rsidR="00B637E5" w:rsidRPr="00BA41B6" w:rsidRDefault="00B637E5" w:rsidP="00B637E5">
      <w:pPr>
        <w:jc w:val="both"/>
        <w:rPr>
          <w:rFonts w:ascii="Arial" w:hAnsi="Arial" w:cs="Arial"/>
          <w:b/>
          <w:lang w:val="en-US"/>
        </w:rPr>
      </w:pPr>
      <w:r w:rsidRPr="00BA41B6">
        <w:rPr>
          <w:rFonts w:ascii="Arial" w:hAnsi="Arial" w:cs="Arial"/>
          <w:b/>
        </w:rPr>
        <w:sym w:font="Symbol" w:char="F0B7"/>
      </w:r>
      <w:r w:rsidRPr="00BA41B6">
        <w:rPr>
          <w:rFonts w:ascii="Arial" w:hAnsi="Arial" w:cs="Arial"/>
          <w:b/>
          <w:lang w:val="en-US"/>
        </w:rPr>
        <w:t xml:space="preserve"> Call for papers opens: September 30, 2019</w:t>
      </w:r>
    </w:p>
    <w:p w:rsidR="00B637E5" w:rsidRPr="00BA41B6" w:rsidRDefault="00B637E5" w:rsidP="00B637E5">
      <w:pPr>
        <w:jc w:val="both"/>
        <w:rPr>
          <w:rFonts w:ascii="Arial" w:hAnsi="Arial" w:cs="Arial"/>
          <w:b/>
          <w:lang w:val="en-US"/>
        </w:rPr>
      </w:pPr>
      <w:r w:rsidRPr="00B637E5">
        <w:rPr>
          <w:rFonts w:ascii="Arial" w:hAnsi="Arial" w:cs="Arial"/>
        </w:rPr>
        <w:sym w:font="Symbol" w:char="F0B7"/>
      </w:r>
      <w:r w:rsidRPr="00B637E5">
        <w:rPr>
          <w:rFonts w:ascii="Arial" w:hAnsi="Arial" w:cs="Arial"/>
          <w:lang w:val="en-US"/>
        </w:rPr>
        <w:t xml:space="preserve"> </w:t>
      </w:r>
      <w:r w:rsidRPr="00BA41B6">
        <w:rPr>
          <w:rFonts w:ascii="Arial" w:hAnsi="Arial" w:cs="Arial"/>
          <w:b/>
          <w:lang w:val="en-US"/>
        </w:rPr>
        <w:t xml:space="preserve">Call for papers closes:  </w:t>
      </w:r>
      <w:r w:rsidR="00635BC8">
        <w:rPr>
          <w:rFonts w:ascii="Arial" w:hAnsi="Arial" w:cs="Arial"/>
          <w:b/>
          <w:lang w:val="en-US"/>
        </w:rPr>
        <w:t>February 10, 2020</w:t>
      </w:r>
    </w:p>
    <w:p w:rsidR="00B637E5" w:rsidRPr="00B637E5" w:rsidRDefault="00B637E5" w:rsidP="00B637E5">
      <w:pPr>
        <w:jc w:val="both"/>
        <w:rPr>
          <w:rFonts w:ascii="Arial" w:hAnsi="Arial" w:cs="Arial"/>
          <w:lang w:val="en-US"/>
        </w:rPr>
      </w:pPr>
      <w:r w:rsidRPr="00B637E5">
        <w:rPr>
          <w:rFonts w:ascii="Arial" w:hAnsi="Arial" w:cs="Arial"/>
        </w:rPr>
        <w:sym w:font="Symbol" w:char="F0B7"/>
      </w:r>
      <w:r w:rsidRPr="00B637E5">
        <w:rPr>
          <w:rFonts w:ascii="Arial" w:hAnsi="Arial" w:cs="Arial"/>
          <w:lang w:val="en-US"/>
        </w:rPr>
        <w:t xml:space="preserve"> Publication:</w:t>
      </w:r>
      <w:r w:rsidRPr="00B637E5">
        <w:rPr>
          <w:rFonts w:ascii="Arial" w:hAnsi="Arial" w:cs="Arial"/>
          <w:color w:val="FF0000"/>
          <w:lang w:val="en-US"/>
        </w:rPr>
        <w:t xml:space="preserve"> </w:t>
      </w:r>
      <w:r w:rsidRPr="00B637E5">
        <w:rPr>
          <w:rFonts w:ascii="Arial" w:hAnsi="Arial" w:cs="Arial"/>
          <w:lang w:val="en-US"/>
        </w:rPr>
        <w:t>Vol. 92, I, 2021</w:t>
      </w:r>
    </w:p>
    <w:p w:rsidR="000F2086" w:rsidRDefault="00B637E5" w:rsidP="00B637E5">
      <w:pPr>
        <w:jc w:val="both"/>
        <w:rPr>
          <w:rFonts w:ascii="Arial" w:hAnsi="Arial" w:cs="Arial"/>
          <w:b/>
          <w:sz w:val="24"/>
          <w:szCs w:val="24"/>
          <w:lang w:val="en-US"/>
        </w:rPr>
      </w:pPr>
      <w:r w:rsidRPr="000F2086">
        <w:rPr>
          <w:rFonts w:ascii="Arial" w:hAnsi="Arial" w:cs="Arial"/>
          <w:b/>
          <w:sz w:val="24"/>
          <w:szCs w:val="24"/>
          <w:lang w:val="en-US"/>
        </w:rPr>
        <w:t xml:space="preserve">Submissions </w:t>
      </w:r>
      <w:r w:rsidR="00753AC2" w:rsidRPr="000F2086">
        <w:rPr>
          <w:rFonts w:ascii="Arial" w:hAnsi="Arial" w:cs="Arial"/>
          <w:b/>
          <w:sz w:val="24"/>
          <w:szCs w:val="24"/>
          <w:lang w:val="en-US"/>
        </w:rPr>
        <w:t xml:space="preserve">with indication “Special Issue” to </w:t>
      </w:r>
    </w:p>
    <w:p w:rsidR="00B637E5" w:rsidRPr="000F2086" w:rsidRDefault="00B637E5" w:rsidP="00B637E5">
      <w:pPr>
        <w:jc w:val="both"/>
        <w:rPr>
          <w:rFonts w:ascii="Arial" w:hAnsi="Arial" w:cs="Arial"/>
          <w:b/>
          <w:sz w:val="24"/>
          <w:szCs w:val="24"/>
          <w:lang w:val="en-US"/>
        </w:rPr>
      </w:pPr>
      <w:r w:rsidRPr="000F2086">
        <w:rPr>
          <w:rFonts w:ascii="Arial" w:hAnsi="Arial" w:cs="Arial"/>
          <w:b/>
          <w:sz w:val="24"/>
          <w:szCs w:val="24"/>
          <w:lang w:val="en-US"/>
        </w:rPr>
        <w:t>http://Mc.manuscriptcentral.com/apce</w:t>
      </w:r>
    </w:p>
    <w:p w:rsidR="00B637E5" w:rsidRPr="00753AC2" w:rsidRDefault="00B637E5" w:rsidP="00360E3E">
      <w:pPr>
        <w:jc w:val="both"/>
        <w:rPr>
          <w:rFonts w:ascii="Arial" w:hAnsi="Arial" w:cs="Arial"/>
          <w:lang w:val="en-US"/>
        </w:rPr>
      </w:pPr>
    </w:p>
    <w:sectPr w:rsidR="00B637E5" w:rsidRPr="00753A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8BE"/>
    <w:rsid w:val="000F2086"/>
    <w:rsid w:val="000F29C3"/>
    <w:rsid w:val="0025523D"/>
    <w:rsid w:val="002818BE"/>
    <w:rsid w:val="002E3F3B"/>
    <w:rsid w:val="00360E3E"/>
    <w:rsid w:val="004D7678"/>
    <w:rsid w:val="004E0C67"/>
    <w:rsid w:val="00635BC8"/>
    <w:rsid w:val="00732FE3"/>
    <w:rsid w:val="00753AC2"/>
    <w:rsid w:val="00786FEC"/>
    <w:rsid w:val="00872C69"/>
    <w:rsid w:val="00A30C7E"/>
    <w:rsid w:val="00B637E5"/>
    <w:rsid w:val="00BA41B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D2FFB8-F23A-4216-85A7-765324EFC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B637E5"/>
    <w:pPr>
      <w:spacing w:before="100" w:beforeAutospacing="1" w:after="100" w:afterAutospacing="1" w:line="240" w:lineRule="auto"/>
      <w:outlineLvl w:val="0"/>
    </w:pPr>
    <w:rPr>
      <w:rFonts w:ascii="Times New Roman" w:eastAsia="Times New Roman" w:hAnsi="Times New Roman" w:cs="Times New Roman"/>
      <w:b/>
      <w:bCs/>
      <w:kern w:val="36"/>
      <w:sz w:val="48"/>
      <w:szCs w:val="48"/>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637E5"/>
    <w:rPr>
      <w:rFonts w:ascii="Times New Roman" w:eastAsia="Times New Roman" w:hAnsi="Times New Roman" w:cs="Times New Roman"/>
      <w:b/>
      <w:bCs/>
      <w:kern w:val="36"/>
      <w:sz w:val="48"/>
      <w:szCs w:val="48"/>
      <w:lang w:val="fr-FR" w:eastAsia="fr-FR"/>
    </w:rPr>
  </w:style>
  <w:style w:type="character" w:styleId="Lienhypertexte">
    <w:name w:val="Hyperlink"/>
    <w:basedOn w:val="Policepardfaut"/>
    <w:uiPriority w:val="99"/>
    <w:unhideWhenUsed/>
    <w:rsid w:val="00B637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eepblue.lib.umich.edu/bitstream/2027.42/39430/3/wp40.pdf" TargetMode="External"/><Relationship Id="rId3" Type="http://schemas.openxmlformats.org/officeDocument/2006/relationships/webSettings" Target="webSettings.xml"/><Relationship Id="rId7" Type="http://schemas.openxmlformats.org/officeDocument/2006/relationships/hyperlink" Target="http://science.sciencemag.org/content/sci/162/3859/1243.full.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iriec.uliege.be/publications/ouvrages/providing-public-goods-and-commons/" TargetMode="External"/><Relationship Id="rId5" Type="http://schemas.openxmlformats.org/officeDocument/2006/relationships/image" Target="media/image2.6A9E3630"/><Relationship Id="rId10" Type="http://schemas.openxmlformats.org/officeDocument/2006/relationships/theme" Target="theme/theme1.xml"/><Relationship Id="rId4" Type="http://schemas.openxmlformats.org/officeDocument/2006/relationships/image" Target="media/image1.AEC29AA0"/><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830</Words>
  <Characters>4567</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Ciriec - Jerome Schoenmaeckers</dc:creator>
  <cp:keywords/>
  <dc:description/>
  <cp:lastModifiedBy>Ciriec - Christine Dussart</cp:lastModifiedBy>
  <cp:revision>7</cp:revision>
  <dcterms:created xsi:type="dcterms:W3CDTF">2019-09-23T10:33:00Z</dcterms:created>
  <dcterms:modified xsi:type="dcterms:W3CDTF">2020-01-09T15:19:00Z</dcterms:modified>
</cp:coreProperties>
</file>