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C17C" w14:textId="77777777" w:rsidR="001B0EBC" w:rsidRPr="001B0EBC" w:rsidRDefault="001B0EBC" w:rsidP="001B0EB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:sz w:val="36"/>
          <w:szCs w:val="36"/>
          <w14:ligatures w14:val="none"/>
        </w:rPr>
        <w:t>Charter for Working Group</w:t>
      </w:r>
    </w:p>
    <w:p w14:paraId="4A7CE4E7" w14:textId="33FAA63B" w:rsidR="002F3DAB" w:rsidRPr="001B0EBC" w:rsidRDefault="001B0EBC" w:rsidP="002F3DA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The Routing Area 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>W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orking 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>G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roup (RTGWG) is chartered to provide a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venue to discuss, evaluate, support and develop proposals for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new work in the Routing Area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. It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may 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also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work on specific small topics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 xml:space="preserve">that do not 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>fit within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an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>y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existing working group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>s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.</w:t>
      </w:r>
      <w:r w:rsidR="002F3DAB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="002F3DAB"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An example of</w:t>
      </w:r>
      <w:r w:rsidR="002F3DAB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such</w:t>
      </w:r>
      <w:r w:rsidR="002F3DAB"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 small topic is a draft that might otherwise be AD-</w:t>
      </w:r>
      <w:proofErr w:type="gramStart"/>
      <w:r w:rsidR="002F3DAB"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sponsored</w:t>
      </w:r>
      <w:proofErr w:type="gramEnd"/>
      <w:r w:rsidR="002F3DAB"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but which could benefit from the review and consensus that RTGWG can provide.</w:t>
      </w:r>
    </w:p>
    <w:p w14:paraId="72B65EA2" w14:textId="77777777" w:rsidR="001B0EBC" w:rsidRPr="001B0EBC" w:rsidRDefault="001B0EBC" w:rsidP="001B0E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Options for handling new work include:</w:t>
      </w:r>
    </w:p>
    <w:p w14:paraId="595966D5" w14:textId="77777777" w:rsidR="001B0EBC" w:rsidRPr="001B0EBC" w:rsidRDefault="001B0EBC" w:rsidP="001B0E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Directing the work to an existing WG (including RTGWG)</w:t>
      </w:r>
    </w:p>
    <w:p w14:paraId="55CAEE7E" w14:textId="77777777" w:rsidR="001B0EBC" w:rsidRPr="001B0EBC" w:rsidRDefault="001B0EBC" w:rsidP="001B0E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Developing a proposal for a </w:t>
      </w:r>
      <w:proofErr w:type="spellStart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BoF</w:t>
      </w:r>
      <w:proofErr w:type="spellEnd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.</w:t>
      </w:r>
    </w:p>
    <w:p w14:paraId="652C2DF0" w14:textId="4602EB48" w:rsidR="001B0EBC" w:rsidRPr="001B0EBC" w:rsidRDefault="001B0EBC" w:rsidP="001B0E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Developing a charter and establishing consensus for a new WG. This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 xml:space="preserve">option will primarily be used 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>for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proofErr w:type="gramStart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fairly mature</w:t>
      </w:r>
      <w:proofErr w:type="gramEnd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and/or well-defined efforts.</w:t>
      </w:r>
    </w:p>
    <w:p w14:paraId="6AEB4C0B" w14:textId="6B76CEC7" w:rsidR="001B0EBC" w:rsidRPr="001B0EBC" w:rsidRDefault="0016381C" w:rsidP="001B0E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Conducting a c</w:t>
      </w:r>
      <w:r w:rsidR="001B0EBC"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areful evaluation, </w:t>
      </w:r>
      <w:r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which may </w:t>
      </w:r>
      <w:r w:rsidR="001B0EBC"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lead to deferring or rejecting work.</w:t>
      </w:r>
    </w:p>
    <w:p w14:paraId="5FD12580" w14:textId="77777777" w:rsidR="001B0EBC" w:rsidRPr="001B0EBC" w:rsidRDefault="001B0EBC" w:rsidP="001B0E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It is expected that the proposals for new work will only include items which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are not aligned with the work of other WGs or that may span multiple WGs.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The Area Directors and WG Chairs can provide guidance if there is any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doubt whether a topic should be discussed in RTGWG.</w:t>
      </w:r>
    </w:p>
    <w:p w14:paraId="759881BA" w14:textId="47E79FA7" w:rsidR="001B0EBC" w:rsidRPr="001B0EBC" w:rsidRDefault="001B0EBC" w:rsidP="001B0E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A major objective of the RTGWG is to provide timely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and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clear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dispositions of new efforts. Where there is consensus to take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 xml:space="preserve">on new work, the WG will strive to quickly find a </w:t>
      </w:r>
      <w:r w:rsidR="0016381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suitable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home for it.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Reconsideration of proposals which have failed to gather consensus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will be prioritized behind proposals for new work which have not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yet been considered. In general, requests for reconsideration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should only be made once a proposal has been significantly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revised.</w:t>
      </w:r>
    </w:p>
    <w:p w14:paraId="76B5C1CA" w14:textId="77777777" w:rsidR="001B0EBC" w:rsidRPr="001B0EBC" w:rsidRDefault="001B0EBC" w:rsidP="001B0E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If RTGWG decides that a particular topic should be addressed by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a new WG, the chairs will recommend the work to the Routing ADs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with a summary of the evaluation. The Routing ADs may then choose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 xml:space="preserve">to follow the normal IETF chartering process (potential </w:t>
      </w:r>
      <w:proofErr w:type="spellStart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BoF</w:t>
      </w:r>
      <w:proofErr w:type="spellEnd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, IETF-wide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review of the proposed charter, etc.).</w:t>
      </w:r>
    </w:p>
    <w:p w14:paraId="35D860F0" w14:textId="47098A32" w:rsidR="001B0EBC" w:rsidRPr="001B0EBC" w:rsidRDefault="001B0EBC" w:rsidP="001B0E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Guiding principles for </w:t>
      </w:r>
      <w:r w:rsidR="007B330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the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evaluation of new work by RTGWG will include:</w:t>
      </w:r>
    </w:p>
    <w:p w14:paraId="490BA915" w14:textId="77777777" w:rsidR="001B0EBC" w:rsidRPr="001B0EBC" w:rsidRDefault="001B0EBC" w:rsidP="001B0EBC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Providing a clear problem statement for proposed new work.</w:t>
      </w:r>
    </w:p>
    <w:p w14:paraId="5F6278EC" w14:textId="77777777" w:rsidR="001B0EBC" w:rsidRPr="001B0EBC" w:rsidRDefault="001B0EBC" w:rsidP="001B0EBC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lastRenderedPageBreak/>
        <w:t>Prioritizing new efforts to manage the trade-offs between urgency,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interest, and available resources in the Routing Area.</w:t>
      </w:r>
    </w:p>
    <w:p w14:paraId="5FC5DDF5" w14:textId="771D300B" w:rsidR="001B0EBC" w:rsidRPr="001B0EBC" w:rsidRDefault="00DA5160" w:rsidP="001B0EBC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14:ligatures w14:val="none"/>
        </w:rPr>
        <w:t>I</w:t>
      </w:r>
      <w:r w:rsidR="007B3301">
        <w:rPr>
          <w:rFonts w:ascii="Segoe UI" w:eastAsia="Times New Roman" w:hAnsi="Segoe UI" w:cs="Segoe UI"/>
          <w:color w:val="212529"/>
          <w:kern w:val="0"/>
          <w14:ligatures w14:val="none"/>
        </w:rPr>
        <w:t>dentifying</w:t>
      </w:r>
      <w:r w:rsidR="001B0EBC"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commonalities among ongoing efforts</w:t>
      </w:r>
      <w:r w:rsidR="007B3301">
        <w:rPr>
          <w:rFonts w:ascii="Segoe UI" w:eastAsia="Times New Roman" w:hAnsi="Segoe UI" w:cs="Segoe UI"/>
          <w:color w:val="212529"/>
          <w:kern w:val="0"/>
          <w14:ligatures w14:val="none"/>
        </w:rPr>
        <w:t>, which</w:t>
      </w:r>
      <w:r w:rsidR="001B0EBC"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may indicate the need to develop more</w:t>
      </w:r>
      <w:r w:rsidR="007B3301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="001B0EBC"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general, reusable solutions.</w:t>
      </w:r>
    </w:p>
    <w:p w14:paraId="44E0F33E" w14:textId="77777777" w:rsidR="001B0EBC" w:rsidRPr="001B0EBC" w:rsidRDefault="001B0EBC" w:rsidP="001B0EBC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Ensuring appropriate cross-WG and cross-area review.</w:t>
      </w:r>
    </w:p>
    <w:p w14:paraId="04E0794E" w14:textId="77777777" w:rsidR="001B0EBC" w:rsidRPr="001B0EBC" w:rsidRDefault="001B0EBC" w:rsidP="001B0EBC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Protecting the architectural integrity of the protocols developed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in the Routing Area and ensuring that work has significant applicability.</w:t>
      </w:r>
    </w:p>
    <w:p w14:paraId="329A4867" w14:textId="09F0A48D" w:rsidR="001B0EBC" w:rsidRPr="001B0EBC" w:rsidRDefault="001B0EBC" w:rsidP="001B0E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RTGWG may also work on specific small topics that do not fit with</w:t>
      </w:r>
      <w:r w:rsidR="00BE2D20">
        <w:rPr>
          <w:rFonts w:ascii="Segoe UI" w:eastAsia="Times New Roman" w:hAnsi="Segoe UI" w:cs="Segoe UI"/>
          <w:color w:val="212529"/>
          <w:kern w:val="0"/>
          <w14:ligatures w14:val="none"/>
        </w:rPr>
        <w:t>in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an existing working group. An example of</w:t>
      </w:r>
      <w:r w:rsidR="00BE2D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such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a small topic is a draft that might otherwise be AD-</w:t>
      </w:r>
      <w:proofErr w:type="gramStart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sponsored</w:t>
      </w:r>
      <w:proofErr w:type="gramEnd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but which could benefit from the review and consensus that RTGWG can provide.</w:t>
      </w:r>
    </w:p>
    <w:p w14:paraId="63D8718E" w14:textId="35C9020B" w:rsidR="001B0EBC" w:rsidRPr="001B0EBC" w:rsidRDefault="001B0EBC" w:rsidP="001B0E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RTGWG may work on larger </w:t>
      </w:r>
      <w:proofErr w:type="gramStart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topics, but</w:t>
      </w:r>
      <w:proofErr w:type="gramEnd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must be explicitly rechartered to add </w:t>
      </w:r>
      <w:r w:rsidR="004D3720">
        <w:rPr>
          <w:rFonts w:ascii="Segoe UI" w:eastAsia="Times New Roman" w:hAnsi="Segoe UI" w:cs="Segoe UI"/>
          <w:color w:val="212529"/>
          <w:kern w:val="0"/>
          <w14:ligatures w14:val="none"/>
        </w:rPr>
        <w:t>it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. The specific larger topics that RTGWG is currently chartered to work on</w:t>
      </w:r>
      <w:r w:rsidR="00BE2D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include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:</w:t>
      </w:r>
    </w:p>
    <w:p w14:paraId="01894223" w14:textId="224BA514" w:rsidR="001B0EBC" w:rsidRPr="001B0EBC" w:rsidRDefault="001B0EBC" w:rsidP="001B0EBC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Enhancements to hop-by-hop distributed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 xml:space="preserve">routing (e.g., </w:t>
      </w:r>
      <w:r w:rsidR="004D37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unicast and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multicast</w:t>
      </w:r>
      <w:r w:rsidR="004D37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routing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, LDP</w:t>
      </w:r>
      <w:r w:rsidR="004D3720">
        <w:rPr>
          <w:rFonts w:ascii="Segoe UI" w:eastAsia="Times New Roman" w:hAnsi="Segoe UI" w:cs="Segoe UI"/>
          <w:color w:val="212529"/>
          <w:kern w:val="0"/>
          <w14:ligatures w14:val="none"/>
        </w:rPr>
        <w:t>/</w:t>
      </w:r>
      <w:proofErr w:type="gramStart"/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MPLS </w:t>
      </w:r>
      <w:r w:rsidR="005C6230">
        <w:rPr>
          <w:rFonts w:ascii="Segoe UI" w:eastAsia="Times New Roman" w:hAnsi="Segoe UI" w:cs="Segoe UI"/>
          <w:color w:val="212529"/>
          <w:kern w:val="0"/>
          <w14:ligatures w14:val="none"/>
        </w:rPr>
        <w:t>,</w:t>
      </w:r>
      <w:proofErr w:type="gramEnd"/>
      <w:r w:rsidR="005C623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Segment Routing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) related to</w:t>
      </w:r>
      <w:r w:rsidR="004D37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fast</w:t>
      </w:r>
      <w:r w:rsidR="0065773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convergence</w:t>
      </w:r>
      <w:r w:rsidR="004D37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with a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goal of</w:t>
      </w:r>
      <w:r w:rsidR="004D37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fast-reroute mechanisms to provide up to complete coverage when</w:t>
      </w:r>
      <w:r w:rsidR="004D37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the potential failure would not partition the network. All work in</w:t>
      </w:r>
      <w:r w:rsidR="004D37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this area should be specifically evaluated by the WG in terms of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practicality and applicability to deployed networks.</w:t>
      </w:r>
    </w:p>
    <w:p w14:paraId="09BADB43" w14:textId="36500847" w:rsidR="001B0EBC" w:rsidRDefault="001B0EBC" w:rsidP="001B0EBC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Routing</w:t>
      </w:r>
      <w:r w:rsidR="0065773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related YANG models that are not </w:t>
      </w:r>
      <w:r w:rsidR="00BE2D20">
        <w:rPr>
          <w:rFonts w:ascii="Segoe UI" w:eastAsia="Times New Roman" w:hAnsi="Segoe UI" w:cs="Segoe UI"/>
          <w:color w:val="212529"/>
          <w:kern w:val="0"/>
          <w14:ligatures w14:val="none"/>
        </w:rPr>
        <w:t>with</w:t>
      </w:r>
      <w:r w:rsidR="0065773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in </w:t>
      </w:r>
      <w:r w:rsidR="00BE2D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the </w:t>
      </w:r>
      <w:r w:rsidR="00657730">
        <w:rPr>
          <w:rFonts w:ascii="Segoe UI" w:eastAsia="Times New Roman" w:hAnsi="Segoe UI" w:cs="Segoe UI"/>
          <w:color w:val="212529"/>
          <w:kern w:val="0"/>
          <w14:ligatures w14:val="none"/>
        </w:rPr>
        <w:t>scope</w:t>
      </w:r>
      <w:r w:rsidR="00BE2D20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of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 xml:space="preserve"> other RTG working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groups.</w:t>
      </w:r>
    </w:p>
    <w:p w14:paraId="4ABFC3EE" w14:textId="5F59CEE1" w:rsidR="005C6230" w:rsidRPr="008B5AC3" w:rsidRDefault="00657730" w:rsidP="001B0EBC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</w:pPr>
      <w:r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Incubation of</w:t>
      </w:r>
      <w:r w:rsidR="005C623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 routing</w:t>
      </w:r>
      <w:r w:rsidR="00BE2D2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-</w:t>
      </w:r>
      <w:r w:rsidR="005C623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related new technolog</w:t>
      </w:r>
      <w:r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ies</w:t>
      </w:r>
      <w:r w:rsidR="002F3DAB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, particularly focusing on problem statements,</w:t>
      </w:r>
      <w:r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 </w:t>
      </w:r>
      <w:r w:rsidR="002F3DAB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prior to achieving</w:t>
      </w:r>
      <w:r w:rsidR="005C623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 </w:t>
      </w:r>
      <w:r w:rsidR="002F3DAB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c</w:t>
      </w:r>
      <w:r w:rsidR="005C623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onsensus </w:t>
      </w:r>
      <w:r w:rsidR="002F3DAB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for</w:t>
      </w:r>
      <w:r w:rsidR="004D372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 creat</w:t>
      </w:r>
      <w:r w:rsidR="002F3DAB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ing</w:t>
      </w:r>
      <w:r w:rsidR="005C623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 a new working group. </w:t>
      </w:r>
      <w:r w:rsidR="00BE2D2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This i</w:t>
      </w:r>
      <w:r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nclud</w:t>
      </w:r>
      <w:r w:rsidR="00BE2D2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es,</w:t>
      </w:r>
      <w:r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 but not limited to</w:t>
      </w:r>
      <w:r w:rsidR="00BE2D2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, </w:t>
      </w:r>
      <w:r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the following topics:</w:t>
      </w:r>
      <w:r w:rsidR="005C623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 satellite routing, routing in data centers</w:t>
      </w:r>
      <w:r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, and networking</w:t>
      </w:r>
      <w:r w:rsidR="005C623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 xml:space="preserve"> for AI </w:t>
      </w:r>
      <w:r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clusters</w:t>
      </w:r>
      <w:r w:rsidR="005C6230" w:rsidRPr="008B5AC3">
        <w:rPr>
          <w:rFonts w:ascii="Segoe UI" w:eastAsia="Times New Roman" w:hAnsi="Segoe UI" w:cs="Segoe UI"/>
          <w:color w:val="212529"/>
          <w:kern w:val="0"/>
          <w:highlight w:val="yellow"/>
          <w14:ligatures w14:val="none"/>
        </w:rPr>
        <w:t>.</w:t>
      </w:r>
    </w:p>
    <w:p w14:paraId="607A42B3" w14:textId="77777777" w:rsidR="001B0EBC" w:rsidRPr="001B0EBC" w:rsidRDefault="001B0EBC" w:rsidP="001B0E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t>The working group milestones will be updated as needed to reflect the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proposals currently being worked on and the target dates for their</w:t>
      </w:r>
      <w:r w:rsidRPr="001B0EBC">
        <w:rPr>
          <w:rFonts w:ascii="Segoe UI" w:eastAsia="Times New Roman" w:hAnsi="Segoe UI" w:cs="Segoe UI"/>
          <w:color w:val="212529"/>
          <w:kern w:val="0"/>
          <w14:ligatures w14:val="none"/>
        </w:rPr>
        <w:br/>
        <w:t>completion.</w:t>
      </w:r>
    </w:p>
    <w:p w14:paraId="5564BB36" w14:textId="77777777" w:rsidR="00525FC0" w:rsidRDefault="00525FC0"/>
    <w:sectPr w:rsidR="0052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C04"/>
    <w:multiLevelType w:val="multilevel"/>
    <w:tmpl w:val="669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F7163"/>
    <w:multiLevelType w:val="multilevel"/>
    <w:tmpl w:val="6AE6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06310"/>
    <w:multiLevelType w:val="multilevel"/>
    <w:tmpl w:val="72B4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893199">
    <w:abstractNumId w:val="0"/>
  </w:num>
  <w:num w:numId="2" w16cid:durableId="1183085576">
    <w:abstractNumId w:val="2"/>
  </w:num>
  <w:num w:numId="3" w16cid:durableId="41721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C"/>
    <w:rsid w:val="0016381C"/>
    <w:rsid w:val="0016434B"/>
    <w:rsid w:val="001B0EBC"/>
    <w:rsid w:val="00213238"/>
    <w:rsid w:val="002830FA"/>
    <w:rsid w:val="002E1CBA"/>
    <w:rsid w:val="002F3DAB"/>
    <w:rsid w:val="00484101"/>
    <w:rsid w:val="004D3720"/>
    <w:rsid w:val="004D42B4"/>
    <w:rsid w:val="00525FC0"/>
    <w:rsid w:val="005C6230"/>
    <w:rsid w:val="00657730"/>
    <w:rsid w:val="006C1B6F"/>
    <w:rsid w:val="007B3301"/>
    <w:rsid w:val="00867EC2"/>
    <w:rsid w:val="008B5AC3"/>
    <w:rsid w:val="00926328"/>
    <w:rsid w:val="00A428CF"/>
    <w:rsid w:val="00BE2D20"/>
    <w:rsid w:val="00C65D2F"/>
    <w:rsid w:val="00DA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431D4"/>
  <w15:chartTrackingRefBased/>
  <w15:docId w15:val="{1A9B2E24-BCF8-FE4F-9AB4-FDAFF467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E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5C6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Yingzhen Qu</dc:creator>
  <cp:keywords/>
  <dc:description/>
  <cp:lastModifiedBy>Yingzhen Qu</cp:lastModifiedBy>
  <cp:revision>5</cp:revision>
  <dcterms:created xsi:type="dcterms:W3CDTF">2024-08-13T18:18:00Z</dcterms:created>
  <dcterms:modified xsi:type="dcterms:W3CDTF">2024-09-05T22:39:00Z</dcterms:modified>
</cp:coreProperties>
</file>