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72" w:type="dxa"/>
        <w:tblLook w:val="04A0"/>
      </w:tblPr>
      <w:tblGrid>
        <w:gridCol w:w="8472"/>
      </w:tblGrid>
      <w:tr w:rsidR="00956792" w:rsidRPr="00956792" w:rsidTr="00485FFE">
        <w:trPr>
          <w:trHeight w:val="1418"/>
        </w:trPr>
        <w:tc>
          <w:tcPr>
            <w:tcW w:w="8472" w:type="dxa"/>
            <w:tcBorders>
              <w:top w:val="nil"/>
              <w:left w:val="nil"/>
              <w:bottom w:val="nil"/>
              <w:right w:val="nil"/>
            </w:tcBorders>
            <w:shd w:val="clear" w:color="000000" w:fill="00B0F0"/>
            <w:vAlign w:val="center"/>
            <w:hideMark/>
          </w:tcPr>
          <w:p w:rsidR="00956792" w:rsidRPr="00D502DA" w:rsidRDefault="00956792" w:rsidP="00195272">
            <w:pPr>
              <w:widowControl/>
              <w:rPr>
                <w:rFonts w:ascii="宋体" w:eastAsia="宋体" w:hAnsi="宋体" w:cs="宋体"/>
                <w:b/>
                <w:bCs/>
                <w:color w:val="000000"/>
                <w:kern w:val="0"/>
                <w:sz w:val="36"/>
                <w:szCs w:val="36"/>
              </w:rPr>
            </w:pPr>
            <w:r w:rsidRPr="00D502DA">
              <w:rPr>
                <w:rFonts w:ascii="宋体" w:eastAsia="宋体" w:hAnsi="宋体" w:cs="宋体" w:hint="eastAsia"/>
                <w:b/>
                <w:bCs/>
                <w:color w:val="000000"/>
                <w:kern w:val="0"/>
                <w:sz w:val="36"/>
                <w:szCs w:val="36"/>
              </w:rPr>
              <w:t>有效调岗调薪、裁员解雇及违纪问题员工处理技巧</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956792" w:rsidRDefault="00956792" w:rsidP="00D502DA">
            <w:pPr>
              <w:widowControl/>
              <w:ind w:firstLineChars="1365" w:firstLine="301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A27544" w:rsidRDefault="00956792" w:rsidP="0083223C">
            <w:pPr>
              <w:widowControl/>
              <w:jc w:val="left"/>
              <w:rPr>
                <w:rFonts w:ascii="宋体" w:eastAsia="宋体" w:hAnsi="宋体" w:cs="宋体" w:hint="eastAsia"/>
                <w:b/>
                <w:bCs/>
                <w:color w:val="7030A0"/>
                <w:kern w:val="0"/>
                <w:sz w:val="24"/>
                <w:szCs w:val="24"/>
              </w:rPr>
            </w:pPr>
            <w:r w:rsidRPr="00485FFE">
              <w:rPr>
                <w:rFonts w:ascii="宋体" w:eastAsia="宋体" w:hAnsi="宋体" w:cs="宋体" w:hint="eastAsia"/>
                <w:b/>
                <w:bCs/>
                <w:color w:val="7030A0"/>
                <w:kern w:val="0"/>
                <w:sz w:val="24"/>
                <w:szCs w:val="24"/>
              </w:rPr>
              <w:t>【时间地点】</w:t>
            </w:r>
          </w:p>
          <w:p w:rsidR="0083223C" w:rsidRPr="00485FFE" w:rsidRDefault="00A27544" w:rsidP="0083223C">
            <w:pPr>
              <w:widowControl/>
              <w:jc w:val="left"/>
              <w:rPr>
                <w:rFonts w:ascii="宋体" w:eastAsia="宋体" w:hAnsi="宋体" w:cs="宋体"/>
                <w:b/>
                <w:bCs/>
                <w:color w:val="7030A0"/>
                <w:kern w:val="0"/>
                <w:sz w:val="24"/>
                <w:szCs w:val="24"/>
              </w:rPr>
            </w:pPr>
            <w:r>
              <w:rPr>
                <w:rFonts w:ascii="宋体" w:eastAsia="宋体" w:hAnsi="宋体" w:cs="宋体" w:hint="eastAsia"/>
                <w:b/>
                <w:bCs/>
                <w:color w:val="7030A0"/>
                <w:kern w:val="0"/>
                <w:sz w:val="24"/>
                <w:szCs w:val="24"/>
              </w:rPr>
              <w:t>2017年</w:t>
            </w:r>
          </w:p>
          <w:p w:rsidR="00F129BC" w:rsidRDefault="00A27544" w:rsidP="0083223C">
            <w:pPr>
              <w:widowControl/>
              <w:rPr>
                <w:rFonts w:ascii="宋体" w:eastAsia="宋体" w:hAnsi="宋体" w:cs="宋体"/>
                <w:b/>
                <w:bCs/>
                <w:color w:val="7030A0"/>
                <w:kern w:val="0"/>
                <w:sz w:val="24"/>
                <w:szCs w:val="24"/>
              </w:rPr>
            </w:pPr>
            <w:r w:rsidRPr="00A27544">
              <w:rPr>
                <w:rFonts w:ascii="宋体" w:eastAsia="宋体" w:hAnsi="宋体" w:cs="宋体" w:hint="eastAsia"/>
                <w:b/>
                <w:bCs/>
                <w:color w:val="7030A0"/>
                <w:kern w:val="0"/>
                <w:sz w:val="24"/>
                <w:szCs w:val="24"/>
              </w:rPr>
              <w:t>3月03--04日上海（A单元）</w:t>
            </w:r>
            <w:r>
              <w:rPr>
                <w:rFonts w:ascii="宋体" w:eastAsia="宋体" w:hAnsi="宋体" w:cs="宋体" w:hint="eastAsia"/>
                <w:b/>
                <w:bCs/>
                <w:color w:val="7030A0"/>
                <w:kern w:val="0"/>
                <w:sz w:val="24"/>
                <w:szCs w:val="24"/>
              </w:rPr>
              <w:t xml:space="preserve">  </w:t>
            </w:r>
            <w:r w:rsidR="00F129BC">
              <w:rPr>
                <w:rFonts w:ascii="宋体" w:eastAsia="宋体" w:hAnsi="宋体" w:cs="宋体" w:hint="eastAsia"/>
                <w:b/>
                <w:bCs/>
                <w:color w:val="7030A0"/>
                <w:kern w:val="0"/>
                <w:sz w:val="24"/>
                <w:szCs w:val="24"/>
              </w:rPr>
              <w:t xml:space="preserve"> </w:t>
            </w:r>
            <w:r w:rsidRPr="00A27544">
              <w:rPr>
                <w:rFonts w:ascii="宋体" w:eastAsia="宋体" w:hAnsi="宋体" w:cs="宋体" w:hint="eastAsia"/>
                <w:b/>
                <w:bCs/>
                <w:color w:val="7030A0"/>
                <w:kern w:val="0"/>
                <w:sz w:val="24"/>
                <w:szCs w:val="24"/>
              </w:rPr>
              <w:t>3月31-4月1日上海（B单元）</w:t>
            </w:r>
          </w:p>
          <w:p w:rsidR="00F129BC" w:rsidRDefault="00A27544" w:rsidP="0083223C">
            <w:pPr>
              <w:widowControl/>
              <w:rPr>
                <w:rFonts w:ascii="宋体" w:eastAsia="宋体" w:hAnsi="宋体" w:cs="宋体"/>
                <w:b/>
                <w:bCs/>
                <w:color w:val="7030A0"/>
                <w:kern w:val="0"/>
                <w:sz w:val="24"/>
                <w:szCs w:val="24"/>
              </w:rPr>
            </w:pPr>
            <w:r w:rsidRPr="00A27544">
              <w:rPr>
                <w:rFonts w:ascii="宋体" w:eastAsia="宋体" w:hAnsi="宋体" w:cs="宋体" w:hint="eastAsia"/>
                <w:b/>
                <w:bCs/>
                <w:color w:val="7030A0"/>
                <w:kern w:val="0"/>
                <w:sz w:val="24"/>
                <w:szCs w:val="24"/>
              </w:rPr>
              <w:t>3月10--11日深圳（A单元）</w:t>
            </w:r>
            <w:r w:rsidR="00F129BC">
              <w:rPr>
                <w:rFonts w:ascii="宋体" w:eastAsia="宋体" w:hAnsi="宋体" w:cs="宋体" w:hint="eastAsia"/>
                <w:b/>
                <w:bCs/>
                <w:color w:val="7030A0"/>
                <w:kern w:val="0"/>
                <w:sz w:val="24"/>
                <w:szCs w:val="24"/>
              </w:rPr>
              <w:t xml:space="preserve">   </w:t>
            </w:r>
            <w:r w:rsidRPr="00A27544">
              <w:rPr>
                <w:rFonts w:ascii="宋体" w:eastAsia="宋体" w:hAnsi="宋体" w:cs="宋体" w:hint="eastAsia"/>
                <w:b/>
                <w:bCs/>
                <w:color w:val="7030A0"/>
                <w:kern w:val="0"/>
                <w:sz w:val="24"/>
                <w:szCs w:val="24"/>
              </w:rPr>
              <w:t>4月14--15日深圳（B单元）</w:t>
            </w:r>
            <w:r w:rsidR="00F129BC">
              <w:rPr>
                <w:rFonts w:ascii="宋体" w:eastAsia="宋体" w:hAnsi="宋体" w:cs="宋体" w:hint="eastAsia"/>
                <w:b/>
                <w:bCs/>
                <w:color w:val="7030A0"/>
                <w:kern w:val="0"/>
                <w:sz w:val="24"/>
                <w:szCs w:val="24"/>
              </w:rPr>
              <w:t xml:space="preserve"> </w:t>
            </w:r>
          </w:p>
          <w:p w:rsidR="0046066D" w:rsidRDefault="00A27544" w:rsidP="0083223C">
            <w:pPr>
              <w:widowControl/>
              <w:rPr>
                <w:rFonts w:ascii="宋体" w:eastAsia="宋体" w:hAnsi="宋体" w:cs="宋体" w:hint="eastAsia"/>
                <w:b/>
                <w:bCs/>
                <w:color w:val="7030A0"/>
                <w:kern w:val="0"/>
                <w:sz w:val="24"/>
                <w:szCs w:val="24"/>
              </w:rPr>
            </w:pPr>
            <w:r w:rsidRPr="00A27544">
              <w:rPr>
                <w:rFonts w:ascii="宋体" w:eastAsia="宋体" w:hAnsi="宋体" w:cs="宋体" w:hint="eastAsia"/>
                <w:b/>
                <w:bCs/>
                <w:color w:val="7030A0"/>
                <w:kern w:val="0"/>
                <w:sz w:val="24"/>
                <w:szCs w:val="24"/>
              </w:rPr>
              <w:t>3月17--18日北京（A单元）</w:t>
            </w:r>
            <w:r>
              <w:rPr>
                <w:rFonts w:ascii="宋体" w:eastAsia="宋体" w:hAnsi="宋体" w:cs="宋体" w:hint="eastAsia"/>
                <w:b/>
                <w:bCs/>
                <w:color w:val="7030A0"/>
                <w:kern w:val="0"/>
                <w:sz w:val="24"/>
                <w:szCs w:val="24"/>
              </w:rPr>
              <w:t xml:space="preserve">   </w:t>
            </w:r>
            <w:r w:rsidRPr="00A27544">
              <w:rPr>
                <w:rFonts w:ascii="宋体" w:eastAsia="宋体" w:hAnsi="宋体" w:cs="宋体" w:hint="eastAsia"/>
                <w:b/>
                <w:bCs/>
                <w:color w:val="7030A0"/>
                <w:kern w:val="0"/>
                <w:sz w:val="24"/>
                <w:szCs w:val="24"/>
              </w:rPr>
              <w:t>4月21--22日北京（B单元）</w:t>
            </w:r>
          </w:p>
          <w:p w:rsidR="00A27544" w:rsidRPr="0046066D" w:rsidRDefault="00A27544" w:rsidP="0083223C">
            <w:pPr>
              <w:widowControl/>
              <w:rPr>
                <w:rFonts w:ascii="宋体" w:eastAsia="宋体" w:hAnsi="宋体" w:cs="宋体"/>
                <w:b/>
                <w:bCs/>
                <w:color w:val="7030A0"/>
                <w:kern w:val="0"/>
                <w:sz w:val="24"/>
                <w:szCs w:val="24"/>
              </w:rPr>
            </w:pPr>
            <w:r w:rsidRPr="00A27544">
              <w:rPr>
                <w:rFonts w:ascii="宋体" w:eastAsia="宋体" w:hAnsi="宋体" w:cs="宋体" w:hint="eastAsia"/>
                <w:b/>
                <w:bCs/>
                <w:color w:val="7030A0"/>
                <w:kern w:val="0"/>
                <w:sz w:val="24"/>
                <w:szCs w:val="24"/>
              </w:rPr>
              <w:t>3月24--25日广州（A单元）</w:t>
            </w:r>
            <w:r>
              <w:rPr>
                <w:rFonts w:ascii="宋体" w:eastAsia="宋体" w:hAnsi="宋体" w:cs="宋体" w:hint="eastAsia"/>
                <w:b/>
                <w:bCs/>
                <w:color w:val="7030A0"/>
                <w:kern w:val="0"/>
                <w:sz w:val="24"/>
                <w:szCs w:val="24"/>
              </w:rPr>
              <w:t xml:space="preserve">   </w:t>
            </w:r>
            <w:r w:rsidRPr="00A27544">
              <w:rPr>
                <w:rFonts w:ascii="宋体" w:eastAsia="宋体" w:hAnsi="宋体" w:cs="宋体" w:hint="eastAsia"/>
                <w:b/>
                <w:bCs/>
                <w:color w:val="7030A0"/>
                <w:kern w:val="0"/>
                <w:sz w:val="24"/>
                <w:szCs w:val="24"/>
              </w:rPr>
              <w:t>4月28--29日广州（B单元）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【参加对象】</w:t>
            </w:r>
            <w:r w:rsidRPr="00956792">
              <w:rPr>
                <w:rFonts w:ascii="宋体" w:eastAsia="宋体" w:hAnsi="宋体" w:cs="宋体" w:hint="eastAsia"/>
                <w:color w:val="000000"/>
                <w:kern w:val="0"/>
                <w:sz w:val="24"/>
                <w:szCs w:val="24"/>
              </w:rPr>
              <w:t xml:space="preserve">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【授课方式】</w:t>
            </w:r>
            <w:r w:rsidRPr="00956792">
              <w:rPr>
                <w:rFonts w:ascii="宋体" w:eastAsia="宋体" w:hAnsi="宋体" w:cs="宋体" w:hint="eastAsia"/>
                <w:color w:val="000000"/>
                <w:kern w:val="0"/>
                <w:sz w:val="24"/>
                <w:szCs w:val="24"/>
              </w:rPr>
              <w:t xml:space="preserve"> 讲师讲授 + 视频演绎 + 案例研讨 +角色扮演 + 讲师点评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A27544">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【学习费用】</w:t>
            </w:r>
            <w:r w:rsidR="00A27544">
              <w:rPr>
                <w:rFonts w:ascii="宋体" w:eastAsia="宋体" w:hAnsi="宋体" w:cs="宋体" w:hint="eastAsia"/>
                <w:color w:val="000000"/>
                <w:kern w:val="0"/>
                <w:sz w:val="24"/>
                <w:szCs w:val="24"/>
              </w:rPr>
              <w:t xml:space="preserve"> 3200</w:t>
            </w:r>
            <w:r w:rsidRPr="00956792">
              <w:rPr>
                <w:rFonts w:ascii="宋体" w:eastAsia="宋体" w:hAnsi="宋体" w:cs="宋体" w:hint="eastAsia"/>
                <w:color w:val="000000"/>
                <w:kern w:val="0"/>
                <w:sz w:val="24"/>
                <w:szCs w:val="24"/>
              </w:rPr>
              <w:t>/1</w:t>
            </w:r>
            <w:r w:rsidR="00A27544">
              <w:rPr>
                <w:rFonts w:ascii="宋体" w:eastAsia="宋体" w:hAnsi="宋体" w:cs="宋体" w:hint="eastAsia"/>
                <w:color w:val="000000"/>
                <w:kern w:val="0"/>
                <w:sz w:val="24"/>
                <w:szCs w:val="24"/>
              </w:rPr>
              <w:t xml:space="preserve">人/1单元 </w:t>
            </w:r>
            <w:r w:rsidR="00485FFE">
              <w:rPr>
                <w:rFonts w:ascii="宋体" w:eastAsia="宋体" w:hAnsi="宋体" w:cs="宋体" w:hint="eastAsia"/>
                <w:color w:val="000000"/>
                <w:kern w:val="0"/>
                <w:sz w:val="24"/>
                <w:szCs w:val="24"/>
              </w:rPr>
              <w:t>（含教材，学费，发票</w:t>
            </w:r>
            <w:r w:rsidR="00A27544">
              <w:rPr>
                <w:rFonts w:ascii="宋体" w:eastAsia="宋体" w:hAnsi="宋体" w:cs="宋体" w:hint="eastAsia"/>
                <w:color w:val="000000"/>
                <w:kern w:val="0"/>
                <w:sz w:val="24"/>
                <w:szCs w:val="24"/>
              </w:rPr>
              <w:t>，午餐</w:t>
            </w:r>
            <w:r w:rsidR="00485FFE">
              <w:rPr>
                <w:rFonts w:ascii="宋体" w:eastAsia="宋体" w:hAnsi="宋体" w:cs="宋体" w:hint="eastAsia"/>
                <w:color w:val="000000"/>
                <w:kern w:val="0"/>
                <w:sz w:val="24"/>
                <w:szCs w:val="24"/>
              </w:rPr>
              <w:t>等）</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46066D" w:rsidRDefault="00956792" w:rsidP="00A27544">
            <w:pPr>
              <w:widowControl/>
              <w:jc w:val="left"/>
              <w:rPr>
                <w:rFonts w:ascii="宋体" w:eastAsia="宋体" w:hAnsi="宋体" w:cs="宋体"/>
                <w:b/>
                <w:color w:val="000000"/>
                <w:kern w:val="0"/>
                <w:sz w:val="24"/>
                <w:szCs w:val="24"/>
              </w:rPr>
            </w:pPr>
            <w:r w:rsidRPr="0046066D">
              <w:rPr>
                <w:rFonts w:ascii="宋体" w:eastAsia="宋体" w:hAnsi="宋体" w:cs="宋体" w:hint="eastAsia"/>
                <w:b/>
                <w:color w:val="000000"/>
                <w:kern w:val="0"/>
                <w:sz w:val="24"/>
                <w:szCs w:val="24"/>
              </w:rPr>
              <w:t>【报名热线】</w:t>
            </w:r>
            <w:r w:rsidRPr="0083223C">
              <w:rPr>
                <w:rFonts w:ascii="宋体" w:eastAsia="宋体" w:hAnsi="宋体" w:cs="宋体" w:hint="eastAsia"/>
                <w:b/>
                <w:color w:val="000000"/>
                <w:kern w:val="0"/>
                <w:sz w:val="24"/>
                <w:szCs w:val="24"/>
              </w:rPr>
              <w:t xml:space="preserve">021-3100-6787、0755-6128-0006 </w:t>
            </w:r>
            <w:r w:rsidR="00A27544">
              <w:rPr>
                <w:rFonts w:ascii="宋体" w:eastAsia="宋体" w:hAnsi="宋体" w:cs="宋体" w:hint="eastAsia"/>
                <w:b/>
                <w:color w:val="000000"/>
                <w:kern w:val="0"/>
                <w:sz w:val="24"/>
                <w:szCs w:val="24"/>
              </w:rPr>
              <w:t xml:space="preserve"> 13381601000   </w:t>
            </w:r>
            <w:r w:rsidR="00A27544" w:rsidRPr="0083223C">
              <w:rPr>
                <w:rFonts w:ascii="宋体" w:eastAsia="宋体" w:hAnsi="宋体" w:cs="宋体" w:hint="eastAsia"/>
                <w:b/>
                <w:color w:val="000000"/>
                <w:kern w:val="0"/>
                <w:sz w:val="24"/>
                <w:szCs w:val="24"/>
              </w:rPr>
              <w:t>许先生</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Default="0011358A" w:rsidP="00A27544">
            <w:pPr>
              <w:widowControl/>
              <w:jc w:val="left"/>
              <w:rPr>
                <w:rFonts w:ascii="宋体" w:eastAsia="宋体" w:hAnsi="宋体" w:cs="宋体" w:hint="eastAsia"/>
                <w:b/>
                <w:color w:val="000000"/>
                <w:kern w:val="0"/>
                <w:sz w:val="24"/>
                <w:szCs w:val="24"/>
              </w:rPr>
            </w:pPr>
            <w:r w:rsidRPr="0083223C">
              <w:rPr>
                <w:rFonts w:ascii="宋体" w:eastAsia="宋体" w:hAnsi="宋体" w:cs="宋体" w:hint="eastAsia"/>
                <w:b/>
                <w:color w:val="000000"/>
                <w:kern w:val="0"/>
                <w:sz w:val="24"/>
                <w:szCs w:val="24"/>
              </w:rPr>
              <w:t>【QQ/微信 】 320588808</w:t>
            </w:r>
          </w:p>
          <w:p w:rsidR="00A27544" w:rsidRPr="0083223C" w:rsidRDefault="00A27544" w:rsidP="00A27544">
            <w:pPr>
              <w:widowControl/>
              <w:jc w:val="left"/>
              <w:rPr>
                <w:rFonts w:ascii="宋体" w:eastAsia="宋体" w:hAnsi="宋体" w:cs="宋体"/>
                <w:b/>
                <w:color w:val="000000"/>
                <w:kern w:val="0"/>
                <w:sz w:val="24"/>
                <w:szCs w:val="24"/>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r w:rsidR="00D502DA" w:rsidRPr="00956792">
              <w:rPr>
                <w:rFonts w:ascii="宋体" w:eastAsia="宋体" w:hAnsi="宋体" w:cs="宋体" w:hint="eastAsia"/>
                <w:kern w:val="0"/>
                <w:sz w:val="22"/>
              </w:rPr>
              <w:t>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r w:rsidR="00D502DA" w:rsidRPr="00956792">
              <w:rPr>
                <w:rFonts w:ascii="宋体" w:eastAsia="宋体" w:hAnsi="宋体" w:cs="宋体" w:hint="eastAsia"/>
                <w:kern w:val="0"/>
                <w:sz w:val="22"/>
              </w:rPr>
              <w:t>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Default="00956792" w:rsidP="00A27544">
            <w:pPr>
              <w:widowControl/>
              <w:ind w:firstLine="450"/>
              <w:jc w:val="left"/>
              <w:rPr>
                <w:rFonts w:ascii="宋体" w:eastAsia="宋体" w:hAnsi="宋体" w:cs="宋体" w:hint="eastAsia"/>
                <w:kern w:val="0"/>
                <w:sz w:val="22"/>
              </w:rPr>
            </w:pPr>
            <w:r w:rsidRPr="00956792">
              <w:rPr>
                <w:rFonts w:ascii="宋体" w:eastAsia="宋体" w:hAnsi="宋体" w:cs="宋体" w:hint="eastAsia"/>
                <w:kern w:val="0"/>
                <w:sz w:val="22"/>
              </w:rPr>
              <w:t>为帮助广大企事业单位了解相关政策法律法规，掌握防范用工风险和化解劳动争议的技能技巧，以</w:t>
            </w:r>
            <w:r w:rsidR="00D502DA" w:rsidRPr="00956792">
              <w:rPr>
                <w:rFonts w:ascii="宋体" w:eastAsia="宋体" w:hAnsi="宋体" w:cs="宋体" w:hint="eastAsia"/>
                <w:kern w:val="0"/>
                <w:sz w:val="22"/>
              </w:rPr>
              <w:t>实现低风险、低成本、高绩效的人力资源管理目标，特邀请我国知名的劳动法与员工关系管理实战专家钟永棣老师主讲此课程。欢迎企事业单位积极组织相关人员参加此培训课程！</w:t>
            </w:r>
          </w:p>
          <w:p w:rsidR="00A27544" w:rsidRPr="00956792" w:rsidRDefault="00A27544" w:rsidP="00A27544">
            <w:pPr>
              <w:widowControl/>
              <w:ind w:firstLine="450"/>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r w:rsidR="00D502DA" w:rsidRPr="00956792">
              <w:rPr>
                <w:rFonts w:ascii="宋体" w:eastAsia="宋体" w:hAnsi="宋体" w:cs="宋体" w:hint="eastAsia"/>
                <w:kern w:val="0"/>
                <w:sz w:val="22"/>
              </w:rPr>
              <w:t>正确的观点、方法、工具、技能带回去。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lastRenderedPageBreak/>
              <w:t>【课程收益】</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11"/>
        </w:trPr>
        <w:tc>
          <w:tcPr>
            <w:tcW w:w="8472" w:type="dxa"/>
            <w:tcBorders>
              <w:top w:val="nil"/>
              <w:left w:val="nil"/>
              <w:bottom w:val="nil"/>
              <w:right w:val="nil"/>
            </w:tcBorders>
            <w:shd w:val="clear" w:color="000000" w:fill="9999FF"/>
            <w:noWrap/>
            <w:vAlign w:val="center"/>
            <w:hideMark/>
          </w:tcPr>
          <w:p w:rsidR="00956792" w:rsidRPr="00956792" w:rsidRDefault="00956792" w:rsidP="00D502DA">
            <w:pPr>
              <w:widowControl/>
              <w:ind w:firstLineChars="600" w:firstLine="2883"/>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A27544" w:rsidRDefault="00956792" w:rsidP="00956792">
            <w:pPr>
              <w:widowControl/>
              <w:jc w:val="left"/>
              <w:rPr>
                <w:rFonts w:ascii="宋体" w:eastAsia="宋体" w:hAnsi="宋体" w:cs="宋体"/>
                <w:b/>
                <w:color w:val="FF0000"/>
                <w:kern w:val="0"/>
                <w:sz w:val="24"/>
                <w:szCs w:val="24"/>
              </w:rPr>
            </w:pPr>
            <w:r w:rsidRPr="00A27544">
              <w:rPr>
                <w:rFonts w:ascii="宋体" w:eastAsia="宋体" w:hAnsi="宋体" w:cs="宋体" w:hint="eastAsia"/>
                <w:b/>
                <w:color w:val="FF0000"/>
                <w:kern w:val="0"/>
                <w:sz w:val="24"/>
                <w:szCs w:val="24"/>
              </w:rPr>
              <w:t>A单元内容（共2天，15个以上经典案例）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专题四：无固定期限劳动合同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r w:rsidR="0046066D" w:rsidRPr="00956792">
              <w:rPr>
                <w:rFonts w:ascii="宋体" w:eastAsia="宋体" w:hAnsi="宋体" w:cs="宋体" w:hint="eastAsia"/>
                <w:kern w:val="0"/>
                <w:sz w:val="22"/>
              </w:rPr>
              <w:t>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r w:rsidR="0046066D" w:rsidRPr="00956792">
              <w:rPr>
                <w:rFonts w:ascii="宋体" w:eastAsia="宋体" w:hAnsi="宋体" w:cs="宋体" w:hint="eastAsia"/>
                <w:kern w:val="0"/>
                <w:sz w:val="22"/>
              </w:rPr>
              <w:t>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r w:rsidR="0046066D" w:rsidRPr="00956792">
              <w:rPr>
                <w:rFonts w:ascii="宋体" w:eastAsia="宋体" w:hAnsi="宋体" w:cs="宋体" w:hint="eastAsia"/>
                <w:kern w:val="0"/>
                <w:sz w:val="22"/>
              </w:rPr>
              <w:t>无固定期限劳动合同的，用人单位能否拒绝？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r w:rsidR="0046066D" w:rsidRPr="00956792">
              <w:rPr>
                <w:rFonts w:ascii="宋体" w:eastAsia="宋体" w:hAnsi="宋体" w:cs="宋体" w:hint="eastAsia"/>
                <w:kern w:val="0"/>
                <w:sz w:val="22"/>
              </w:rPr>
              <w:t>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r w:rsidR="0046066D" w:rsidRPr="00956792">
              <w:rPr>
                <w:rFonts w:ascii="宋体" w:eastAsia="宋体" w:hAnsi="宋体" w:cs="宋体" w:hint="eastAsia"/>
                <w:kern w:val="0"/>
                <w:sz w:val="22"/>
              </w:rPr>
              <w:t>有可能支持劳动者的诉求，企业如何避免案件败诉？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r w:rsidR="0046066D" w:rsidRPr="00956792">
              <w:rPr>
                <w:rFonts w:ascii="宋体" w:eastAsia="宋体" w:hAnsi="宋体" w:cs="宋体" w:hint="eastAsia"/>
                <w:kern w:val="0"/>
                <w:sz w:val="22"/>
              </w:rPr>
              <w:t>企业该如何做才避免风险？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r w:rsidR="0046066D" w:rsidRPr="00956792">
              <w:rPr>
                <w:rFonts w:ascii="宋体" w:eastAsia="宋体" w:hAnsi="宋体" w:cs="宋体" w:hint="eastAsia"/>
                <w:kern w:val="0"/>
                <w:sz w:val="22"/>
              </w:rPr>
              <w:t>避免案件败诉而承担法律责任？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r w:rsidR="0046066D" w:rsidRPr="00956792">
              <w:rPr>
                <w:rFonts w:ascii="宋体" w:eastAsia="宋体" w:hAnsi="宋体" w:cs="宋体" w:hint="eastAsia"/>
                <w:kern w:val="0"/>
                <w:sz w:val="22"/>
              </w:rPr>
              <w:t>非常大；那么企业该如何规避风险？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专题七：社会保险法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1.用人单位拖欠社保费，有什么法律责任？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Default="00956792" w:rsidP="00956792">
            <w:pPr>
              <w:widowControl/>
              <w:jc w:val="left"/>
              <w:rPr>
                <w:rFonts w:ascii="宋体" w:eastAsia="宋体" w:hAnsi="宋体" w:cs="宋体" w:hint="eastAsia"/>
                <w:kern w:val="0"/>
                <w:sz w:val="22"/>
              </w:rPr>
            </w:pPr>
            <w:r w:rsidRPr="00956792">
              <w:rPr>
                <w:rFonts w:ascii="宋体" w:eastAsia="宋体" w:hAnsi="宋体" w:cs="宋体" w:hint="eastAsia"/>
                <w:kern w:val="0"/>
                <w:sz w:val="22"/>
              </w:rPr>
              <w:t>8.举证责任如何分配，无法举证的后果有哪些？</w:t>
            </w:r>
          </w:p>
          <w:p w:rsidR="00A27544" w:rsidRDefault="00A27544" w:rsidP="00956792">
            <w:pPr>
              <w:widowControl/>
              <w:jc w:val="left"/>
              <w:rPr>
                <w:rFonts w:ascii="宋体" w:eastAsia="宋体" w:hAnsi="宋体" w:cs="宋体" w:hint="eastAsia"/>
                <w:kern w:val="0"/>
                <w:sz w:val="22"/>
              </w:rPr>
            </w:pPr>
          </w:p>
          <w:p w:rsidR="00A27544" w:rsidRPr="00956792" w:rsidRDefault="00A27544"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A27544" w:rsidRDefault="00956792" w:rsidP="00956792">
            <w:pPr>
              <w:widowControl/>
              <w:jc w:val="left"/>
              <w:rPr>
                <w:rFonts w:ascii="宋体" w:eastAsia="宋体" w:hAnsi="宋体" w:cs="宋体"/>
                <w:b/>
                <w:color w:val="FF0000"/>
                <w:kern w:val="0"/>
                <w:sz w:val="24"/>
                <w:szCs w:val="24"/>
              </w:rPr>
            </w:pPr>
            <w:r w:rsidRPr="00A27544">
              <w:rPr>
                <w:rFonts w:ascii="宋体" w:eastAsia="宋体" w:hAnsi="宋体" w:cs="宋体" w:hint="eastAsia"/>
                <w:b/>
                <w:color w:val="FF0000"/>
                <w:kern w:val="0"/>
                <w:sz w:val="24"/>
                <w:szCs w:val="24"/>
              </w:rPr>
              <w:t>B单元内容（共2天，15个以上经典案例）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10.劳动者在工作日\法定节假日加班，能否安排补休而不予支付加班费？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r w:rsidR="0046066D" w:rsidRPr="00956792">
              <w:rPr>
                <w:rFonts w:ascii="宋体" w:eastAsia="宋体" w:hAnsi="宋体" w:cs="宋体" w:hint="eastAsia"/>
                <w:kern w:val="0"/>
                <w:sz w:val="22"/>
              </w:rPr>
              <w:t>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r w:rsidR="0046066D" w:rsidRPr="00956792">
              <w:rPr>
                <w:rFonts w:ascii="宋体" w:eastAsia="宋体" w:hAnsi="宋体" w:cs="宋体" w:hint="eastAsia"/>
                <w:kern w:val="0"/>
                <w:sz w:val="22"/>
              </w:rPr>
              <w:t>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r w:rsidR="0046066D" w:rsidRPr="00956792">
              <w:rPr>
                <w:rFonts w:ascii="宋体" w:eastAsia="宋体" w:hAnsi="宋体" w:cs="宋体" w:hint="eastAsia"/>
                <w:kern w:val="0"/>
                <w:sz w:val="22"/>
              </w:rPr>
              <w:t>手机短信能否作为证据使用？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r w:rsidR="0046066D" w:rsidRPr="00956792">
              <w:rPr>
                <w:rFonts w:ascii="宋体" w:eastAsia="宋体" w:hAnsi="宋体" w:cs="宋体" w:hint="eastAsia"/>
                <w:kern w:val="0"/>
                <w:sz w:val="22"/>
              </w:rPr>
              <w:t>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专题五：规章制度、员工手册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1.属于工伤范围的情形有哪些？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r w:rsidR="0046066D" w:rsidRPr="00956792">
              <w:rPr>
                <w:rFonts w:ascii="宋体" w:eastAsia="宋体" w:hAnsi="宋体" w:cs="宋体" w:hint="eastAsia"/>
                <w:kern w:val="0"/>
                <w:sz w:val="22"/>
              </w:rPr>
              <w:t>赔偿？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bl>
    <w:p w:rsidR="00A27544" w:rsidRDefault="00A27544">
      <w:pPr>
        <w:rPr>
          <w:rFonts w:hint="eastAsia"/>
        </w:rPr>
      </w:pPr>
    </w:p>
    <w:p w:rsidR="00A27544" w:rsidRDefault="00A27544">
      <w:pPr>
        <w:rPr>
          <w:rFonts w:hint="eastAsia"/>
        </w:rPr>
      </w:pPr>
    </w:p>
    <w:p w:rsidR="00A27544" w:rsidRPr="00A27544" w:rsidRDefault="00A27544">
      <w:pPr>
        <w:rPr>
          <w:rFonts w:hint="eastAsia"/>
          <w:b/>
        </w:rPr>
      </w:pPr>
    </w:p>
    <w:tbl>
      <w:tblPr>
        <w:tblW w:w="8472" w:type="dxa"/>
        <w:tblLook w:val="04A0"/>
      </w:tblPr>
      <w:tblGrid>
        <w:gridCol w:w="8472"/>
      </w:tblGrid>
      <w:tr w:rsidR="00A27544" w:rsidRPr="00956792" w:rsidTr="00B10E36">
        <w:trPr>
          <w:trHeight w:val="360"/>
        </w:trPr>
        <w:tc>
          <w:tcPr>
            <w:tcW w:w="8472" w:type="dxa"/>
            <w:tcBorders>
              <w:top w:val="nil"/>
              <w:left w:val="nil"/>
              <w:bottom w:val="nil"/>
              <w:right w:val="nil"/>
            </w:tcBorders>
            <w:shd w:val="clear" w:color="000000" w:fill="FFFFFF"/>
            <w:noWrap/>
            <w:vAlign w:val="center"/>
            <w:hideMark/>
          </w:tcPr>
          <w:p w:rsidR="00A27544" w:rsidRPr="00956792" w:rsidRDefault="00A27544" w:rsidP="00B10E36">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导师简介 ---【钟永棣】   资深劳动法专家</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国内著名劳动法与员工关系管理实战专家、劳动仲裁员、企业劳动争议预防应对专家、高级人力资源管理师、高级劳动关系协调师，国内第一批倡导、传播、实施“国家劳动法与企业薪酬绩效有机整合” 的先行者；国内原创型、实战型、顾问型的培训师。</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件的精准应对，善于把劳动法律法规与企业人力资源管理有机整合，通晓企业劳动争议防范机制的构建和劳动用工管理体系的修正完善。钟老师经常在客户办</w:t>
            </w:r>
            <w:r w:rsidRPr="00956792">
              <w:rPr>
                <w:rFonts w:ascii="宋体" w:eastAsia="宋体" w:hAnsi="宋体" w:cs="宋体" w:hint="eastAsia"/>
                <w:kern w:val="0"/>
                <w:sz w:val="22"/>
              </w:rPr>
              <w:lastRenderedPageBreak/>
              <w:t>公现场、培训现场为客户、学员即时起草、审查、修改相关制度、合同、文书，或分析具体案件的应对思路；钟老师独到的现场的专业功底，每次都赢得广大客户、学员发自内心的好评与100%的信服！</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lastRenderedPageBreak/>
              <w:t>【讲师经历】</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95%，众多学员均表示：“第一次听到如此实战、实用、实效的劳动法课程！钟老师非常务实、不说教、没有商业味道，终于听到了让我不再后悔的精彩课程！”</w:t>
            </w:r>
          </w:p>
        </w:tc>
      </w:tr>
      <w:tr w:rsidR="00A27544" w:rsidRPr="00956792" w:rsidTr="00B10E36">
        <w:trPr>
          <w:trHeight w:val="360"/>
        </w:trPr>
        <w:tc>
          <w:tcPr>
            <w:tcW w:w="8472" w:type="dxa"/>
            <w:tcBorders>
              <w:top w:val="nil"/>
              <w:left w:val="nil"/>
              <w:bottom w:val="nil"/>
              <w:right w:val="nil"/>
            </w:tcBorders>
            <w:shd w:val="clear" w:color="auto" w:fill="auto"/>
            <w:noWrap/>
            <w:vAlign w:val="center"/>
            <w:hideMark/>
          </w:tcPr>
          <w:p w:rsidR="00A27544" w:rsidRPr="00956792" w:rsidRDefault="00A27544" w:rsidP="00B10E36">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钟老师先后在《广州日报》、《南方都市报》、《中国社会科学报》、《人力资源》、《香港工业总会月刊》等报刊、杂志、媒体发表专业文章或采访稿50多篇。</w:t>
            </w:r>
          </w:p>
        </w:tc>
      </w:tr>
    </w:tbl>
    <w:p w:rsidR="00A27544" w:rsidRPr="00A27544" w:rsidRDefault="00A27544"/>
    <w:sectPr w:rsidR="00A27544" w:rsidRPr="00A27544"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DF2" w:rsidRDefault="006A0DF2" w:rsidP="00956792">
      <w:r>
        <w:separator/>
      </w:r>
    </w:p>
  </w:endnote>
  <w:endnote w:type="continuationSeparator" w:id="1">
    <w:p w:rsidR="006A0DF2" w:rsidRDefault="006A0DF2"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DF2" w:rsidRDefault="006A0DF2" w:rsidP="00956792">
      <w:r>
        <w:separator/>
      </w:r>
    </w:p>
  </w:footnote>
  <w:footnote w:type="continuationSeparator" w:id="1">
    <w:p w:rsidR="006A0DF2" w:rsidRDefault="006A0DF2"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4714B"/>
    <w:rsid w:val="00274BDF"/>
    <w:rsid w:val="0029697E"/>
    <w:rsid w:val="002C662C"/>
    <w:rsid w:val="00345664"/>
    <w:rsid w:val="00387EBF"/>
    <w:rsid w:val="003F2AD5"/>
    <w:rsid w:val="00407B40"/>
    <w:rsid w:val="00414993"/>
    <w:rsid w:val="0046066D"/>
    <w:rsid w:val="004833EF"/>
    <w:rsid w:val="00485FFE"/>
    <w:rsid w:val="00515478"/>
    <w:rsid w:val="00565233"/>
    <w:rsid w:val="005B18ED"/>
    <w:rsid w:val="00657456"/>
    <w:rsid w:val="006677F0"/>
    <w:rsid w:val="00680938"/>
    <w:rsid w:val="006A0DF2"/>
    <w:rsid w:val="00752F8F"/>
    <w:rsid w:val="00784E74"/>
    <w:rsid w:val="00790DD6"/>
    <w:rsid w:val="007A05B7"/>
    <w:rsid w:val="007A0EAA"/>
    <w:rsid w:val="007B6221"/>
    <w:rsid w:val="008054E6"/>
    <w:rsid w:val="00821A1A"/>
    <w:rsid w:val="0083223C"/>
    <w:rsid w:val="00832DF4"/>
    <w:rsid w:val="008902B3"/>
    <w:rsid w:val="008F2692"/>
    <w:rsid w:val="00956792"/>
    <w:rsid w:val="00965AD9"/>
    <w:rsid w:val="009A0FA1"/>
    <w:rsid w:val="00A27544"/>
    <w:rsid w:val="00AE0639"/>
    <w:rsid w:val="00B26237"/>
    <w:rsid w:val="00BD521D"/>
    <w:rsid w:val="00BE75D7"/>
    <w:rsid w:val="00C41784"/>
    <w:rsid w:val="00C44DF4"/>
    <w:rsid w:val="00C458BF"/>
    <w:rsid w:val="00C91B85"/>
    <w:rsid w:val="00D502DA"/>
    <w:rsid w:val="00D61C19"/>
    <w:rsid w:val="00E94573"/>
    <w:rsid w:val="00EA556D"/>
    <w:rsid w:val="00EB012A"/>
    <w:rsid w:val="00F129BC"/>
    <w:rsid w:val="00F61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67</cp:revision>
  <dcterms:created xsi:type="dcterms:W3CDTF">2015-12-13T15:23:00Z</dcterms:created>
  <dcterms:modified xsi:type="dcterms:W3CDTF">2017-02-28T08:45:00Z</dcterms:modified>
</cp:coreProperties>
</file>