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B7218" w14:textId="218C3D56" w:rsidR="00EF1278" w:rsidRDefault="00EF1278" w:rsidP="007E2431">
      <w:pPr>
        <w:spacing w:line="360" w:lineRule="auto"/>
        <w:rPr>
          <w:rFonts w:ascii="Arial" w:hAnsi="Arial" w:cs="Arial"/>
          <w:sz w:val="28"/>
          <w:szCs w:val="28"/>
        </w:rPr>
      </w:pPr>
      <w:r>
        <w:rPr>
          <w:rFonts w:ascii="Arial" w:hAnsi="Arial" w:cs="Arial"/>
          <w:sz w:val="28"/>
          <w:szCs w:val="28"/>
        </w:rPr>
        <w:t xml:space="preserve">Is supreme court only </w:t>
      </w:r>
      <w:proofErr w:type="gramStart"/>
      <w:r>
        <w:rPr>
          <w:rFonts w:ascii="Arial" w:hAnsi="Arial" w:cs="Arial"/>
          <w:sz w:val="28"/>
          <w:szCs w:val="28"/>
        </w:rPr>
        <w:t>most</w:t>
      </w:r>
      <w:proofErr w:type="gramEnd"/>
      <w:r>
        <w:rPr>
          <w:rFonts w:ascii="Arial" w:hAnsi="Arial" w:cs="Arial"/>
          <w:sz w:val="28"/>
          <w:szCs w:val="28"/>
        </w:rPr>
        <w:t xml:space="preserve"> powerful? </w:t>
      </w:r>
    </w:p>
    <w:p w14:paraId="5037EB40" w14:textId="77777777" w:rsidR="00EF1278" w:rsidRDefault="00EF1278" w:rsidP="007E2431">
      <w:pPr>
        <w:spacing w:line="360" w:lineRule="auto"/>
        <w:rPr>
          <w:rFonts w:ascii="Arial" w:hAnsi="Arial" w:cs="Arial"/>
          <w:sz w:val="28"/>
          <w:szCs w:val="28"/>
        </w:rPr>
      </w:pPr>
    </w:p>
    <w:p w14:paraId="3C702985" w14:textId="1DF4B7B2"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Constitution</w:t>
      </w:r>
    </w:p>
    <w:p w14:paraId="35F59494"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LAW, COURTS AND THE CONSTITUTION</w:t>
      </w:r>
    </w:p>
    <w:p w14:paraId="2951D3A0"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India’s commitment to the rule of law is grounded in the Constitution which establishes India as a ‘Sovereign Socialist Secular Democratic Republic’ with a Parliamentary form of Government. The Constitution of India is the supreme legal authority which binds the legislative, executive, and judicial organs of government. The Constitution grants all citizens Fundamental Rights and empowers the independent judiciary to invalidate legislations or government actions which violate the Constitution. Some of the other key features of the Constitution are a federal system of governance between the Union and the States, separation of powers between the three organs of the Government, free and fair elections, equality before the law, and a secular state that recognizes freedom of conscience and religion.</w:t>
      </w:r>
    </w:p>
    <w:p w14:paraId="43305D25" w14:textId="77777777" w:rsidR="007E2431" w:rsidRPr="007E2431" w:rsidRDefault="007E2431" w:rsidP="007E2431">
      <w:pPr>
        <w:spacing w:line="360" w:lineRule="auto"/>
        <w:rPr>
          <w:rFonts w:ascii="Arial" w:hAnsi="Arial" w:cs="Arial"/>
          <w:sz w:val="28"/>
          <w:szCs w:val="28"/>
        </w:rPr>
      </w:pPr>
    </w:p>
    <w:p w14:paraId="31721AE0"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SOURCES OF LAW</w:t>
      </w:r>
    </w:p>
    <w:p w14:paraId="017DD354"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 xml:space="preserve">The Constitution of India is the source of legal authority and empowers Parliament and the Legislatures of States and Union Territories to enact statutes. There is also a vast body of laws known as subordinate legislation in the form of rules, regulations, and by-laws made by Central and State Governments and local authorities like Municipal Corporations, Municipalities, Gram Panchayats and other local bodies. This subordinate legislation is made under the authority conferred or delegated either by </w:t>
      </w:r>
      <w:r w:rsidRPr="007E2431">
        <w:rPr>
          <w:rFonts w:ascii="Arial" w:hAnsi="Arial" w:cs="Arial"/>
          <w:sz w:val="28"/>
          <w:szCs w:val="28"/>
        </w:rPr>
        <w:lastRenderedPageBreak/>
        <w:t xml:space="preserve">Parliament or the concerned Legislature of the State or Union Territory. The decisions of the Supreme Court are binding on all Courts within the territory of India. As India is a land of diversities, local customs and conventions which do not contradict a </w:t>
      </w:r>
      <w:proofErr w:type="gramStart"/>
      <w:r w:rsidRPr="007E2431">
        <w:rPr>
          <w:rFonts w:ascii="Arial" w:hAnsi="Arial" w:cs="Arial"/>
          <w:sz w:val="28"/>
          <w:szCs w:val="28"/>
        </w:rPr>
        <w:t>statute</w:t>
      </w:r>
      <w:proofErr w:type="gramEnd"/>
      <w:r w:rsidRPr="007E2431">
        <w:rPr>
          <w:rFonts w:ascii="Arial" w:hAnsi="Arial" w:cs="Arial"/>
          <w:sz w:val="28"/>
          <w:szCs w:val="28"/>
        </w:rPr>
        <w:t xml:space="preserve"> or the Constitution are </w:t>
      </w:r>
      <w:proofErr w:type="spellStart"/>
      <w:r w:rsidRPr="007E2431">
        <w:rPr>
          <w:rFonts w:ascii="Arial" w:hAnsi="Arial" w:cs="Arial"/>
          <w:sz w:val="28"/>
          <w:szCs w:val="28"/>
        </w:rPr>
        <w:t>recognised</w:t>
      </w:r>
      <w:proofErr w:type="spellEnd"/>
      <w:r w:rsidRPr="007E2431">
        <w:rPr>
          <w:rFonts w:ascii="Arial" w:hAnsi="Arial" w:cs="Arial"/>
          <w:sz w:val="28"/>
          <w:szCs w:val="28"/>
        </w:rPr>
        <w:t xml:space="preserve"> and </w:t>
      </w:r>
      <w:proofErr w:type="gramStart"/>
      <w:r w:rsidRPr="007E2431">
        <w:rPr>
          <w:rFonts w:ascii="Arial" w:hAnsi="Arial" w:cs="Arial"/>
          <w:sz w:val="28"/>
          <w:szCs w:val="28"/>
        </w:rPr>
        <w:t>taken into account</w:t>
      </w:r>
      <w:proofErr w:type="gramEnd"/>
      <w:r w:rsidRPr="007E2431">
        <w:rPr>
          <w:rFonts w:ascii="Arial" w:hAnsi="Arial" w:cs="Arial"/>
          <w:sz w:val="28"/>
          <w:szCs w:val="28"/>
        </w:rPr>
        <w:t xml:space="preserve"> by Courts while administering justice in certain spheres.</w:t>
      </w:r>
    </w:p>
    <w:p w14:paraId="5320E9B9" w14:textId="77777777" w:rsidR="007E2431" w:rsidRPr="007E2431" w:rsidRDefault="007E2431" w:rsidP="007E2431">
      <w:pPr>
        <w:spacing w:line="360" w:lineRule="auto"/>
        <w:rPr>
          <w:rFonts w:ascii="Arial" w:hAnsi="Arial" w:cs="Arial"/>
          <w:sz w:val="28"/>
          <w:szCs w:val="28"/>
        </w:rPr>
      </w:pPr>
    </w:p>
    <w:p w14:paraId="30B33E7E"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ENACTMENT OF LAWS</w:t>
      </w:r>
    </w:p>
    <w:p w14:paraId="6771365F"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 xml:space="preserve">The Seventh Schedule of the Constitution contains three lists: a Union List, a State List, and a Concurrent List. These lists set out the various subjects on which Parliament and State Legislatures are empowered to make laws. The Indian Parliament is competent to make laws on matters enumerated in the Union List. State Legislatures are competent to make laws on matters enumerated in the State List. While both the Union and the States have the power to </w:t>
      </w:r>
      <w:proofErr w:type="gramStart"/>
      <w:r w:rsidRPr="007E2431">
        <w:rPr>
          <w:rFonts w:ascii="Arial" w:hAnsi="Arial" w:cs="Arial"/>
          <w:sz w:val="28"/>
          <w:szCs w:val="28"/>
        </w:rPr>
        <w:t>legislate on</w:t>
      </w:r>
      <w:proofErr w:type="gramEnd"/>
      <w:r w:rsidRPr="007E2431">
        <w:rPr>
          <w:rFonts w:ascii="Arial" w:hAnsi="Arial" w:cs="Arial"/>
          <w:sz w:val="28"/>
          <w:szCs w:val="28"/>
        </w:rPr>
        <w:t xml:space="preserve"> matters enumerated in the Concurrent List, only Parliament has power to make laws on matters not included in the State List or the Concurrent List. In the event of repugnancy, laws made by Parliament shall prevail over laws made by State Legislatures, to the extent of </w:t>
      </w:r>
      <w:proofErr w:type="gramStart"/>
      <w:r w:rsidRPr="007E2431">
        <w:rPr>
          <w:rFonts w:ascii="Arial" w:hAnsi="Arial" w:cs="Arial"/>
          <w:sz w:val="28"/>
          <w:szCs w:val="28"/>
        </w:rPr>
        <w:t>the repugnancy</w:t>
      </w:r>
      <w:proofErr w:type="gramEnd"/>
      <w:r w:rsidRPr="007E2431">
        <w:rPr>
          <w:rFonts w:ascii="Arial" w:hAnsi="Arial" w:cs="Arial"/>
          <w:sz w:val="28"/>
          <w:szCs w:val="28"/>
        </w:rPr>
        <w:t>. The State law shall be void unless it has received the assent of the President, and in such case, shall prevail in that State.</w:t>
      </w:r>
    </w:p>
    <w:p w14:paraId="7D3FC91A" w14:textId="77777777" w:rsidR="007E2431" w:rsidRPr="007E2431" w:rsidRDefault="007E2431" w:rsidP="007E2431">
      <w:pPr>
        <w:spacing w:line="360" w:lineRule="auto"/>
        <w:rPr>
          <w:rFonts w:ascii="Arial" w:hAnsi="Arial" w:cs="Arial"/>
          <w:sz w:val="28"/>
          <w:szCs w:val="28"/>
        </w:rPr>
      </w:pPr>
    </w:p>
    <w:p w14:paraId="1312EE8C"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APPLICABILITY OF LAWS</w:t>
      </w:r>
    </w:p>
    <w:p w14:paraId="58562D53"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 xml:space="preserve">Laws made by Parliament may extend throughout or in any part of the territory of India and those made by State Legislatures generally apply only within the territory of the State concerned. Hence, variations are likely to </w:t>
      </w:r>
      <w:r w:rsidRPr="007E2431">
        <w:rPr>
          <w:rFonts w:ascii="Arial" w:hAnsi="Arial" w:cs="Arial"/>
          <w:sz w:val="28"/>
          <w:szCs w:val="28"/>
        </w:rPr>
        <w:lastRenderedPageBreak/>
        <w:t>exist from State to State in provisions of law relating to matters falling in the State and Concurrent Lists.</w:t>
      </w:r>
    </w:p>
    <w:p w14:paraId="7D15B964" w14:textId="77777777" w:rsidR="007E2431" w:rsidRPr="007E2431" w:rsidRDefault="007E2431" w:rsidP="007E2431">
      <w:pPr>
        <w:spacing w:line="360" w:lineRule="auto"/>
        <w:rPr>
          <w:rFonts w:ascii="Arial" w:hAnsi="Arial" w:cs="Arial"/>
          <w:sz w:val="28"/>
          <w:szCs w:val="28"/>
        </w:rPr>
      </w:pPr>
    </w:p>
    <w:p w14:paraId="45763547"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JUDICIARY</w:t>
      </w:r>
    </w:p>
    <w:p w14:paraId="62E6B9AF"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 xml:space="preserve">One of the unique features of the Indian Constitution is that, notwithstanding the adoption of a federal system and existence of Union and State Acts in their respective spheres, it provides for a single integrated system of courts to administer both Union and State laws. At the apex of the entire judicial system is the Supreme Court of India followed by the High Courts in each State or group of States. Under the administration of each High Court are the District Courts. Village/Panchayat Courts also function in some States under various names like Nyaya Panchayat, Gram </w:t>
      </w:r>
      <w:proofErr w:type="spellStart"/>
      <w:r w:rsidRPr="007E2431">
        <w:rPr>
          <w:rFonts w:ascii="Arial" w:hAnsi="Arial" w:cs="Arial"/>
          <w:sz w:val="28"/>
          <w:szCs w:val="28"/>
        </w:rPr>
        <w:t>Nyayalaya</w:t>
      </w:r>
      <w:proofErr w:type="spellEnd"/>
      <w:r w:rsidRPr="007E2431">
        <w:rPr>
          <w:rFonts w:ascii="Arial" w:hAnsi="Arial" w:cs="Arial"/>
          <w:sz w:val="28"/>
          <w:szCs w:val="28"/>
        </w:rPr>
        <w:t xml:space="preserve">, Gram </w:t>
      </w:r>
      <w:proofErr w:type="spellStart"/>
      <w:r w:rsidRPr="007E2431">
        <w:rPr>
          <w:rFonts w:ascii="Arial" w:hAnsi="Arial" w:cs="Arial"/>
          <w:sz w:val="28"/>
          <w:szCs w:val="28"/>
        </w:rPr>
        <w:t>Kachheri</w:t>
      </w:r>
      <w:proofErr w:type="spellEnd"/>
      <w:r w:rsidRPr="007E2431">
        <w:rPr>
          <w:rFonts w:ascii="Arial" w:hAnsi="Arial" w:cs="Arial"/>
          <w:sz w:val="28"/>
          <w:szCs w:val="28"/>
        </w:rPr>
        <w:t xml:space="preserve"> to decide civil and criminal disputes of petty and local nature. Each State is divided into judicial districts presided over by a District and Sessions Judge, which is the principal civil court of original jurisdiction and can try all offences including those punishable with death. The District and Sessions Judge is the highest judicial authority in a district. District Courts have courts of civil jurisdiction, presided over by judges known in different States as </w:t>
      </w:r>
      <w:proofErr w:type="spellStart"/>
      <w:r w:rsidRPr="007E2431">
        <w:rPr>
          <w:rFonts w:ascii="Arial" w:hAnsi="Arial" w:cs="Arial"/>
          <w:sz w:val="28"/>
          <w:szCs w:val="28"/>
        </w:rPr>
        <w:t>Munsifs</w:t>
      </w:r>
      <w:proofErr w:type="spellEnd"/>
      <w:r w:rsidRPr="007E2431">
        <w:rPr>
          <w:rFonts w:ascii="Arial" w:hAnsi="Arial" w:cs="Arial"/>
          <w:sz w:val="28"/>
          <w:szCs w:val="28"/>
        </w:rPr>
        <w:t>, Sub-Judges, Civil Judges. Similarly, the classes of criminal courts include the Chief Judicial Magistrates and Judicial Magistrates of First and Second Class.</w:t>
      </w:r>
    </w:p>
    <w:p w14:paraId="486E670F" w14:textId="77777777" w:rsidR="007E2431" w:rsidRPr="007E2431" w:rsidRDefault="007E2431" w:rsidP="007E2431">
      <w:pPr>
        <w:spacing w:line="360" w:lineRule="auto"/>
        <w:rPr>
          <w:rFonts w:ascii="Arial" w:hAnsi="Arial" w:cs="Arial"/>
          <w:sz w:val="28"/>
          <w:szCs w:val="28"/>
        </w:rPr>
      </w:pPr>
    </w:p>
    <w:p w14:paraId="4E748749"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CONSTITUTION OF SUPREME COURT</w:t>
      </w:r>
    </w:p>
    <w:p w14:paraId="6776D761"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 xml:space="preserve">The Supreme Court of India comprises the Chief Justice of India and not more than 33 other Judges appointed by the President of India. Supreme </w:t>
      </w:r>
      <w:r w:rsidRPr="007E2431">
        <w:rPr>
          <w:rFonts w:ascii="Arial" w:hAnsi="Arial" w:cs="Arial"/>
          <w:sz w:val="28"/>
          <w:szCs w:val="28"/>
        </w:rPr>
        <w:lastRenderedPageBreak/>
        <w:t xml:space="preserve">Court Judges retire at the age of 65. </w:t>
      </w:r>
      <w:proofErr w:type="gramStart"/>
      <w:r w:rsidRPr="007E2431">
        <w:rPr>
          <w:rFonts w:ascii="Arial" w:hAnsi="Arial" w:cs="Arial"/>
          <w:sz w:val="28"/>
          <w:szCs w:val="28"/>
        </w:rPr>
        <w:t>In order to</w:t>
      </w:r>
      <w:proofErr w:type="gramEnd"/>
      <w:r w:rsidRPr="007E2431">
        <w:rPr>
          <w:rFonts w:ascii="Arial" w:hAnsi="Arial" w:cs="Arial"/>
          <w:sz w:val="28"/>
          <w:szCs w:val="28"/>
        </w:rPr>
        <w:t xml:space="preserve"> be appointed as a Judge of the Supreme Court, a person must be a citizen of India and must have been, for at least five years, a Judge of a High Court or an Advocate of a High Court for at least 10 years or he must be, in the opinion of the President, a distinguished jurist. The Constitution also contains provisions for a Judge of the High Court who may be appointed as an ad-hoc Judge of the Supreme Court and for retired Judges of the Supreme Court or High Courts to sit and act as Judges of that Court. The independence of judiciary is part of the basic structure of the Indian Constitution. A Supreme Court Judge cannot be removed from office except by an order of the President passed after an address in each House of Parliament supported by a majority of the total membership of that House and by a majority of not less than two-thirds of members present and voting, and presented to the President in the same Session for such removal on the ground of proved misbehavior or incapacity. A person who has been a Judge of the Supreme Court is debarred from practicing in any court of law or before any other authority in India.</w:t>
      </w:r>
    </w:p>
    <w:p w14:paraId="5531989A" w14:textId="77777777" w:rsidR="007E2431" w:rsidRPr="007E2431" w:rsidRDefault="007E2431" w:rsidP="007E2431">
      <w:pPr>
        <w:spacing w:line="360" w:lineRule="auto"/>
        <w:rPr>
          <w:rFonts w:ascii="Arial" w:hAnsi="Arial" w:cs="Arial"/>
          <w:sz w:val="28"/>
          <w:szCs w:val="28"/>
        </w:rPr>
      </w:pPr>
    </w:p>
    <w:p w14:paraId="6AB82927"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SUPREME COURT REGISTRY</w:t>
      </w:r>
    </w:p>
    <w:p w14:paraId="360FBBDF"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 xml:space="preserve">The administrative wing of the Supreme Court is known as the Registry. For systematic functioning and efficient disposal of work, the Registry is divided into two main wings, viz. Administration and Judicial, which are further divided into various Divisions, Branches, Sections and Cells. The administrative power for determining the work structure of the Court and the Registry exclusively vests in the Chief Justice of India. The Secretary General who is of the rank of Secretary to the Government of India is the </w:t>
      </w:r>
      <w:r w:rsidRPr="007E2431">
        <w:rPr>
          <w:rFonts w:ascii="Arial" w:hAnsi="Arial" w:cs="Arial"/>
          <w:sz w:val="28"/>
          <w:szCs w:val="28"/>
        </w:rPr>
        <w:lastRenderedPageBreak/>
        <w:t>highest Administrative Officer of the Supreme Court. He is assisted by Registrars/Officers on Special Duty and Additional Registrars who are assigned work of specific branches and they, in turn, are assisted by Deputy Registrars, Assistant Registrars and other officers/staff.</w:t>
      </w:r>
    </w:p>
    <w:p w14:paraId="14A739C6" w14:textId="77777777" w:rsidR="007E2431" w:rsidRPr="007E2431" w:rsidRDefault="007E2431" w:rsidP="007E2431">
      <w:pPr>
        <w:spacing w:line="360" w:lineRule="auto"/>
        <w:rPr>
          <w:rFonts w:ascii="Arial" w:hAnsi="Arial" w:cs="Arial"/>
          <w:sz w:val="28"/>
          <w:szCs w:val="28"/>
        </w:rPr>
      </w:pPr>
    </w:p>
    <w:p w14:paraId="6E6019A6"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ATTORNEY GENERAL</w:t>
      </w:r>
    </w:p>
    <w:p w14:paraId="77C4E266"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The Attorney General of India is the highest law officer of the country appointed by the President. He shall be a person qualified to be appointed as a Judge of the Supreme Court. It is the duty of the Attorney General of India to give advice to the Government of India upon such legal matters and to perform such other duties of legal character as may be referred or assigned to him by the President. In the performance of his duties, he has the right of audience in all Courts in India as well as the right to take part in the proceedings of Parliament without the right to vote. In discharge of his functions, the Attorney General is assisted by a Solicitor General and Additional Solicitors Generals.</w:t>
      </w:r>
    </w:p>
    <w:p w14:paraId="572E4EE0" w14:textId="77777777" w:rsidR="007E2431" w:rsidRPr="007E2431" w:rsidRDefault="007E2431" w:rsidP="007E2431">
      <w:pPr>
        <w:spacing w:line="360" w:lineRule="auto"/>
        <w:rPr>
          <w:rFonts w:ascii="Arial" w:hAnsi="Arial" w:cs="Arial"/>
          <w:sz w:val="28"/>
          <w:szCs w:val="28"/>
        </w:rPr>
      </w:pPr>
    </w:p>
    <w:p w14:paraId="2694CFE7"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SUPREME COURT ADVOCATES</w:t>
      </w:r>
    </w:p>
    <w:p w14:paraId="35F8934E"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 xml:space="preserve">There are three categories of Advocates who are entitled to </w:t>
      </w:r>
      <w:proofErr w:type="spellStart"/>
      <w:r w:rsidRPr="007E2431">
        <w:rPr>
          <w:rFonts w:ascii="Arial" w:hAnsi="Arial" w:cs="Arial"/>
          <w:sz w:val="28"/>
          <w:szCs w:val="28"/>
        </w:rPr>
        <w:t>practise</w:t>
      </w:r>
      <w:proofErr w:type="spellEnd"/>
      <w:r w:rsidRPr="007E2431">
        <w:rPr>
          <w:rFonts w:ascii="Arial" w:hAnsi="Arial" w:cs="Arial"/>
          <w:sz w:val="28"/>
          <w:szCs w:val="28"/>
        </w:rPr>
        <w:t xml:space="preserve"> law before the Supreme Court of </w:t>
      </w:r>
      <w:proofErr w:type="gramStart"/>
      <w:r w:rsidRPr="007E2431">
        <w:rPr>
          <w:rFonts w:ascii="Arial" w:hAnsi="Arial" w:cs="Arial"/>
          <w:sz w:val="28"/>
          <w:szCs w:val="28"/>
        </w:rPr>
        <w:t>India:-</w:t>
      </w:r>
      <w:proofErr w:type="gramEnd"/>
    </w:p>
    <w:p w14:paraId="1C37EEA1" w14:textId="77777777" w:rsidR="007E2431" w:rsidRPr="007E2431" w:rsidRDefault="007E2431" w:rsidP="007E2431">
      <w:pPr>
        <w:spacing w:line="360" w:lineRule="auto"/>
        <w:rPr>
          <w:rFonts w:ascii="Arial" w:hAnsi="Arial" w:cs="Arial"/>
          <w:sz w:val="28"/>
          <w:szCs w:val="28"/>
        </w:rPr>
      </w:pPr>
    </w:p>
    <w:p w14:paraId="28CA616B"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 xml:space="preserve">SENIOR ADVOCATES </w:t>
      </w:r>
    </w:p>
    <w:p w14:paraId="770811EC"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 xml:space="preserve">‘Senior Advocate’ means any advocate so designated under sub-section (2) of Section 16 of the Advocates Act, 1961, and all such advocates whose </w:t>
      </w:r>
      <w:r w:rsidRPr="007E2431">
        <w:rPr>
          <w:rFonts w:ascii="Arial" w:hAnsi="Arial" w:cs="Arial"/>
          <w:sz w:val="28"/>
          <w:szCs w:val="28"/>
        </w:rPr>
        <w:lastRenderedPageBreak/>
        <w:t xml:space="preserve">names were borne on the </w:t>
      </w:r>
      <w:proofErr w:type="spellStart"/>
      <w:r w:rsidRPr="007E2431">
        <w:rPr>
          <w:rFonts w:ascii="Arial" w:hAnsi="Arial" w:cs="Arial"/>
          <w:sz w:val="28"/>
          <w:szCs w:val="28"/>
        </w:rPr>
        <w:t>roll</w:t>
      </w:r>
      <w:proofErr w:type="spellEnd"/>
      <w:r w:rsidRPr="007E2431">
        <w:rPr>
          <w:rFonts w:ascii="Arial" w:hAnsi="Arial" w:cs="Arial"/>
          <w:sz w:val="28"/>
          <w:szCs w:val="28"/>
        </w:rPr>
        <w:t xml:space="preserve"> of the senior advocates of the Court immediately before the commencement of Chapter III of the Advocates Act, 1961. All matters relating to the designation of Senior Advocates in the Supreme Court of India are dealt with by a Permanent Committee known as the “Committee for Designation of Senior Advocates” under the Guidelines for Designation of Senior Advocates by the Supreme Court of India, 2023.The Chief Justice of India or any Judge of the Supreme Court may recommend the name of an advocate for being designated as a senior advocate on being of the opinion that such an advocate who mainly </w:t>
      </w:r>
      <w:proofErr w:type="spellStart"/>
      <w:r w:rsidRPr="007E2431">
        <w:rPr>
          <w:rFonts w:ascii="Arial" w:hAnsi="Arial" w:cs="Arial"/>
          <w:sz w:val="28"/>
          <w:szCs w:val="28"/>
        </w:rPr>
        <w:t>practises</w:t>
      </w:r>
      <w:proofErr w:type="spellEnd"/>
      <w:r w:rsidRPr="007E2431">
        <w:rPr>
          <w:rFonts w:ascii="Arial" w:hAnsi="Arial" w:cs="Arial"/>
          <w:sz w:val="28"/>
          <w:szCs w:val="28"/>
        </w:rPr>
        <w:t xml:space="preserve"> in the Supreme Court should be so designated by virtue of their ability, standing at the Bar or special knowledge or experience in law. A Senior Advocate is not entitled to appear in the Supreme Court without an Advocate-on-Record. He is also not entitled to accept instructions to draw pleadings or affidavits, advise on evidence or do any drafting work of an analogous kind in any court or tribunal in India or undertake conveyancing work of any kind whatsoever but this prohibition shall not extend to settling any such matter as aforesaid in consultation with a junior.</w:t>
      </w:r>
    </w:p>
    <w:p w14:paraId="0BA47297"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ADVOCATES-ON-RECORD</w:t>
      </w:r>
    </w:p>
    <w:p w14:paraId="3ECCB50A"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Only these Advocates are entitled to file any matter or document before the Supreme Court. They can also file an appearance or act for a party in the Supreme Court.</w:t>
      </w:r>
    </w:p>
    <w:p w14:paraId="4E4A2496"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OTHER ADVOCATES</w:t>
      </w:r>
    </w:p>
    <w:p w14:paraId="0D6A742C"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 xml:space="preserve">These are the Advocates whose names are entered on the </w:t>
      </w:r>
      <w:proofErr w:type="spellStart"/>
      <w:r w:rsidRPr="007E2431">
        <w:rPr>
          <w:rFonts w:ascii="Arial" w:hAnsi="Arial" w:cs="Arial"/>
          <w:sz w:val="28"/>
          <w:szCs w:val="28"/>
        </w:rPr>
        <w:t>roll</w:t>
      </w:r>
      <w:proofErr w:type="spellEnd"/>
      <w:r w:rsidRPr="007E2431">
        <w:rPr>
          <w:rFonts w:ascii="Arial" w:hAnsi="Arial" w:cs="Arial"/>
          <w:sz w:val="28"/>
          <w:szCs w:val="28"/>
        </w:rPr>
        <w:t xml:space="preserve"> of any State Bar Council maintained under the Advocates Act, 1961. They can appear </w:t>
      </w:r>
      <w:r w:rsidRPr="007E2431">
        <w:rPr>
          <w:rFonts w:ascii="Arial" w:hAnsi="Arial" w:cs="Arial"/>
          <w:sz w:val="28"/>
          <w:szCs w:val="28"/>
        </w:rPr>
        <w:lastRenderedPageBreak/>
        <w:t xml:space="preserve">and argue any matter on behalf of a party in the Supreme </w:t>
      </w:r>
      <w:proofErr w:type="gramStart"/>
      <w:r w:rsidRPr="007E2431">
        <w:rPr>
          <w:rFonts w:ascii="Arial" w:hAnsi="Arial" w:cs="Arial"/>
          <w:sz w:val="28"/>
          <w:szCs w:val="28"/>
        </w:rPr>
        <w:t>Court</w:t>
      </w:r>
      <w:proofErr w:type="gramEnd"/>
      <w:r w:rsidRPr="007E2431">
        <w:rPr>
          <w:rFonts w:ascii="Arial" w:hAnsi="Arial" w:cs="Arial"/>
          <w:sz w:val="28"/>
          <w:szCs w:val="28"/>
        </w:rPr>
        <w:t xml:space="preserve"> but they are not entitled to file any document or matter before the Court.</w:t>
      </w:r>
    </w:p>
    <w:p w14:paraId="47F7821E" w14:textId="77777777" w:rsidR="007E2431" w:rsidRPr="007E2431" w:rsidRDefault="007E2431" w:rsidP="007E2431">
      <w:pPr>
        <w:spacing w:line="360" w:lineRule="auto"/>
        <w:rPr>
          <w:rFonts w:ascii="Arial" w:hAnsi="Arial" w:cs="Arial"/>
          <w:sz w:val="28"/>
          <w:szCs w:val="28"/>
        </w:rPr>
      </w:pPr>
      <w:r w:rsidRPr="007E2431">
        <w:rPr>
          <w:rFonts w:ascii="Arial" w:hAnsi="Arial" w:cs="Arial"/>
          <w:sz w:val="28"/>
          <w:szCs w:val="28"/>
        </w:rPr>
        <w:t>AMICUS CURIAE</w:t>
      </w:r>
    </w:p>
    <w:p w14:paraId="794F1A1E" w14:textId="7D479355" w:rsidR="00BE1942" w:rsidRDefault="007E2431" w:rsidP="007E2431">
      <w:pPr>
        <w:spacing w:line="360" w:lineRule="auto"/>
        <w:rPr>
          <w:rFonts w:ascii="Arial" w:hAnsi="Arial" w:cs="Arial"/>
          <w:sz w:val="28"/>
          <w:szCs w:val="28"/>
        </w:rPr>
      </w:pPr>
      <w:r w:rsidRPr="007E2431">
        <w:rPr>
          <w:rFonts w:ascii="Arial" w:hAnsi="Arial" w:cs="Arial"/>
          <w:sz w:val="28"/>
          <w:szCs w:val="28"/>
        </w:rPr>
        <w:t xml:space="preserve">If a petition is received from the jail or in any other criminal matter where the accused is unrepresented, then an Advocate is appointed as amicus curiae by the Court to defend and argue the case of the accused. In civil matters, the Court can appoint an Advocate as amicus curiae if it thinks it necessary in case of an unrepresented party. Courts can also appoint amicus curiae in any matter of </w:t>
      </w:r>
      <w:proofErr w:type="gramStart"/>
      <w:r w:rsidRPr="007E2431">
        <w:rPr>
          <w:rFonts w:ascii="Arial" w:hAnsi="Arial" w:cs="Arial"/>
          <w:sz w:val="28"/>
          <w:szCs w:val="28"/>
        </w:rPr>
        <w:t>general public</w:t>
      </w:r>
      <w:proofErr w:type="gramEnd"/>
      <w:r w:rsidRPr="007E2431">
        <w:rPr>
          <w:rFonts w:ascii="Arial" w:hAnsi="Arial" w:cs="Arial"/>
          <w:sz w:val="28"/>
          <w:szCs w:val="28"/>
        </w:rPr>
        <w:t xml:space="preserve"> importance or in which the interest of the public at large is involved.</w:t>
      </w:r>
    </w:p>
    <w:p w14:paraId="6671D5FC" w14:textId="53B0873F" w:rsidR="00EF1278" w:rsidRDefault="00EF1278" w:rsidP="007E2431">
      <w:pPr>
        <w:spacing w:line="360" w:lineRule="auto"/>
        <w:rPr>
          <w:rFonts w:ascii="Arial" w:hAnsi="Arial" w:cs="Arial"/>
          <w:sz w:val="28"/>
          <w:szCs w:val="28"/>
        </w:rPr>
      </w:pPr>
      <w:proofErr w:type="spellStart"/>
      <w:r>
        <w:rPr>
          <w:rFonts w:ascii="Arial" w:hAnsi="Arial" w:cs="Arial"/>
          <w:sz w:val="28"/>
          <w:szCs w:val="28"/>
        </w:rPr>
        <w:t>Xxxxxxxxxxxxxxxxxxxxxxxxxxxxxxxxxxxxxxxxxxxxxxxxxxxxxxxxxxxx</w:t>
      </w:r>
      <w:proofErr w:type="spellEnd"/>
    </w:p>
    <w:p w14:paraId="27270FD1" w14:textId="77777777" w:rsidR="00EF1278" w:rsidRPr="00EF1278" w:rsidRDefault="00EF1278" w:rsidP="00EF1278">
      <w:pPr>
        <w:spacing w:line="360" w:lineRule="auto"/>
        <w:rPr>
          <w:rFonts w:ascii="Arial" w:hAnsi="Arial" w:cs="Arial"/>
          <w:sz w:val="28"/>
          <w:szCs w:val="28"/>
        </w:rPr>
      </w:pPr>
    </w:p>
    <w:p w14:paraId="20968D15"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The Election Commission of India is an autonomous constitutional authority responsible for administering Union and State election processes in India. The body administers elections to the Lok Sabha, Rajya Sabha, State Legislative Assemblies in India, and the offices of the President and Vice President in the country.</w:t>
      </w:r>
    </w:p>
    <w:p w14:paraId="4AAF3565" w14:textId="77777777" w:rsidR="00EF1278" w:rsidRPr="00EF1278" w:rsidRDefault="00EF1278" w:rsidP="00EF1278">
      <w:pPr>
        <w:spacing w:line="360" w:lineRule="auto"/>
        <w:rPr>
          <w:rFonts w:ascii="Arial" w:hAnsi="Arial" w:cs="Arial"/>
          <w:sz w:val="28"/>
          <w:szCs w:val="28"/>
        </w:rPr>
      </w:pPr>
    </w:p>
    <w:p w14:paraId="3EA04A91"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ECI Setup</w:t>
      </w:r>
    </w:p>
    <w:p w14:paraId="26598594"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Functions of Electoral System</w:t>
      </w:r>
    </w:p>
    <w:p w14:paraId="53663DA1"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Hon'ble Commission</w:t>
      </w:r>
    </w:p>
    <w:p w14:paraId="1457328A"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Directory</w:t>
      </w:r>
    </w:p>
    <w:p w14:paraId="703AA4EF"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Contact Us</w:t>
      </w:r>
    </w:p>
    <w:p w14:paraId="14D645A2"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lastRenderedPageBreak/>
        <w:t>A Constitutional Body</w:t>
      </w:r>
    </w:p>
    <w:p w14:paraId="7B3A2566"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India is a Socialist, Secular, Democratic Republic and the largest democracy in the World. The modern Indian nation state came into existence on 15th of August 1947. Since </w:t>
      </w:r>
      <w:proofErr w:type="gramStart"/>
      <w:r w:rsidRPr="00EF1278">
        <w:rPr>
          <w:rFonts w:ascii="Arial" w:hAnsi="Arial" w:cs="Arial"/>
          <w:sz w:val="28"/>
          <w:szCs w:val="28"/>
        </w:rPr>
        <w:t>then</w:t>
      </w:r>
      <w:proofErr w:type="gramEnd"/>
      <w:r w:rsidRPr="00EF1278">
        <w:rPr>
          <w:rFonts w:ascii="Arial" w:hAnsi="Arial" w:cs="Arial"/>
          <w:sz w:val="28"/>
          <w:szCs w:val="28"/>
        </w:rPr>
        <w:t xml:space="preserve"> free and fair elections have been held at regular intervals as per the principles enshrined in the Constitution, Electoral Laws and System.</w:t>
      </w:r>
    </w:p>
    <w:p w14:paraId="00B9BA30" w14:textId="77777777" w:rsidR="00EF1278" w:rsidRPr="00EF1278" w:rsidRDefault="00EF1278" w:rsidP="00EF1278">
      <w:pPr>
        <w:spacing w:line="360" w:lineRule="auto"/>
        <w:rPr>
          <w:rFonts w:ascii="Arial" w:hAnsi="Arial" w:cs="Arial"/>
          <w:sz w:val="28"/>
          <w:szCs w:val="28"/>
        </w:rPr>
      </w:pPr>
    </w:p>
    <w:p w14:paraId="702867ED"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The Constitution of India has vested in the Election Commission of India the superintendence, direction and control of the entire process for conduct of elections to Parliament and Legislature of every State and to the offices of President and Vice-President of India.</w:t>
      </w:r>
    </w:p>
    <w:p w14:paraId="5927DA8B" w14:textId="77777777" w:rsidR="00EF1278" w:rsidRPr="00EF1278" w:rsidRDefault="00EF1278" w:rsidP="00EF1278">
      <w:pPr>
        <w:spacing w:line="360" w:lineRule="auto"/>
        <w:rPr>
          <w:rFonts w:ascii="Arial" w:hAnsi="Arial" w:cs="Arial"/>
          <w:sz w:val="28"/>
          <w:szCs w:val="28"/>
        </w:rPr>
      </w:pPr>
    </w:p>
    <w:p w14:paraId="68F7FE01"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Election Commission of India is a permanent Constitutional Body. The Election Commission was established in accordance with the Constitution on 25th January 1950. The Commission celebrated its Golden Jubilee in 2001.</w:t>
      </w:r>
    </w:p>
    <w:p w14:paraId="0CD861B4" w14:textId="77777777" w:rsidR="00EF1278" w:rsidRPr="00EF1278" w:rsidRDefault="00EF1278" w:rsidP="00EF1278">
      <w:pPr>
        <w:spacing w:line="360" w:lineRule="auto"/>
        <w:rPr>
          <w:rFonts w:ascii="Arial" w:hAnsi="Arial" w:cs="Arial"/>
          <w:sz w:val="28"/>
          <w:szCs w:val="28"/>
        </w:rPr>
      </w:pPr>
    </w:p>
    <w:p w14:paraId="6428FB19"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Originally the commission had only a Chief Election Commissioner. It currently consists of Chief Election Commissioner and two Election Commissioners.</w:t>
      </w:r>
    </w:p>
    <w:p w14:paraId="1335DD94" w14:textId="77777777" w:rsidR="00EF1278" w:rsidRPr="00EF1278" w:rsidRDefault="00EF1278" w:rsidP="00EF1278">
      <w:pPr>
        <w:spacing w:line="360" w:lineRule="auto"/>
        <w:rPr>
          <w:rFonts w:ascii="Arial" w:hAnsi="Arial" w:cs="Arial"/>
          <w:sz w:val="28"/>
          <w:szCs w:val="28"/>
        </w:rPr>
      </w:pPr>
    </w:p>
    <w:p w14:paraId="14823509"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For the first time two additional Commissioners were appointed on 16th October 1989 but they had a very short tenure till 1st January 1990. Later, on 1st October </w:t>
      </w:r>
      <w:proofErr w:type="gramStart"/>
      <w:r w:rsidRPr="00EF1278">
        <w:rPr>
          <w:rFonts w:ascii="Arial" w:hAnsi="Arial" w:cs="Arial"/>
          <w:sz w:val="28"/>
          <w:szCs w:val="28"/>
        </w:rPr>
        <w:t>1993</w:t>
      </w:r>
      <w:proofErr w:type="gramEnd"/>
      <w:r w:rsidRPr="00EF1278">
        <w:rPr>
          <w:rFonts w:ascii="Arial" w:hAnsi="Arial" w:cs="Arial"/>
          <w:sz w:val="28"/>
          <w:szCs w:val="28"/>
        </w:rPr>
        <w:t xml:space="preserve"> two additional Election Commissioners were </w:t>
      </w:r>
      <w:r w:rsidRPr="00EF1278">
        <w:rPr>
          <w:rFonts w:ascii="Arial" w:hAnsi="Arial" w:cs="Arial"/>
          <w:sz w:val="28"/>
          <w:szCs w:val="28"/>
        </w:rPr>
        <w:lastRenderedPageBreak/>
        <w:t>appointed. The concept of multi-member Commission has been in operation since then, with decision making power by majority vote.</w:t>
      </w:r>
    </w:p>
    <w:p w14:paraId="62394B92" w14:textId="77777777" w:rsidR="00EF1278" w:rsidRPr="00EF1278" w:rsidRDefault="00EF1278" w:rsidP="00EF1278">
      <w:pPr>
        <w:spacing w:line="360" w:lineRule="auto"/>
        <w:rPr>
          <w:rFonts w:ascii="Arial" w:hAnsi="Arial" w:cs="Arial"/>
          <w:sz w:val="28"/>
          <w:szCs w:val="28"/>
        </w:rPr>
      </w:pPr>
    </w:p>
    <w:p w14:paraId="4B150DCF" w14:textId="77777777" w:rsidR="00EF1278" w:rsidRPr="00EF1278" w:rsidRDefault="00EF1278" w:rsidP="00EF1278">
      <w:pPr>
        <w:spacing w:line="360" w:lineRule="auto"/>
        <w:rPr>
          <w:rFonts w:ascii="Arial" w:hAnsi="Arial" w:cs="Arial"/>
          <w:sz w:val="28"/>
          <w:szCs w:val="28"/>
        </w:rPr>
      </w:pPr>
    </w:p>
    <w:p w14:paraId="01BF9C03" w14:textId="77777777" w:rsidR="00EF1278" w:rsidRPr="00EF1278" w:rsidRDefault="00EF1278" w:rsidP="00EF1278">
      <w:pPr>
        <w:spacing w:line="360" w:lineRule="auto"/>
        <w:rPr>
          <w:rFonts w:ascii="Arial" w:hAnsi="Arial" w:cs="Arial"/>
          <w:sz w:val="28"/>
          <w:szCs w:val="28"/>
        </w:rPr>
      </w:pPr>
    </w:p>
    <w:p w14:paraId="2ED0E274" w14:textId="77777777" w:rsidR="00EF1278" w:rsidRPr="00EF1278" w:rsidRDefault="00EF1278" w:rsidP="00EF1278">
      <w:pPr>
        <w:spacing w:line="360" w:lineRule="auto"/>
        <w:rPr>
          <w:rFonts w:ascii="Arial" w:hAnsi="Arial" w:cs="Arial"/>
          <w:sz w:val="28"/>
          <w:szCs w:val="28"/>
        </w:rPr>
      </w:pPr>
    </w:p>
    <w:p w14:paraId="1E8C3AEF" w14:textId="77777777" w:rsidR="00EF1278" w:rsidRPr="00EF1278" w:rsidRDefault="00EF1278" w:rsidP="00EF1278">
      <w:pPr>
        <w:spacing w:line="360" w:lineRule="auto"/>
        <w:rPr>
          <w:rFonts w:ascii="Arial" w:hAnsi="Arial" w:cs="Arial"/>
          <w:sz w:val="28"/>
          <w:szCs w:val="28"/>
        </w:rPr>
      </w:pPr>
    </w:p>
    <w:p w14:paraId="04BDB58D" w14:textId="77777777" w:rsidR="00EF1278" w:rsidRPr="00EF1278" w:rsidRDefault="00EF1278" w:rsidP="00EF1278">
      <w:pPr>
        <w:spacing w:line="360" w:lineRule="auto"/>
        <w:rPr>
          <w:rFonts w:ascii="Arial" w:hAnsi="Arial" w:cs="Arial"/>
          <w:sz w:val="28"/>
          <w:szCs w:val="28"/>
        </w:rPr>
      </w:pPr>
    </w:p>
    <w:p w14:paraId="7CEA83B6"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Appointment &amp; Tenure </w:t>
      </w:r>
      <w:proofErr w:type="gramStart"/>
      <w:r w:rsidRPr="00EF1278">
        <w:rPr>
          <w:rFonts w:ascii="Arial" w:hAnsi="Arial" w:cs="Arial"/>
          <w:sz w:val="28"/>
          <w:szCs w:val="28"/>
        </w:rPr>
        <w:t>Of</w:t>
      </w:r>
      <w:proofErr w:type="gramEnd"/>
      <w:r w:rsidRPr="00EF1278">
        <w:rPr>
          <w:rFonts w:ascii="Arial" w:hAnsi="Arial" w:cs="Arial"/>
          <w:sz w:val="28"/>
          <w:szCs w:val="28"/>
        </w:rPr>
        <w:t xml:space="preserve"> Commissioners</w:t>
      </w:r>
    </w:p>
    <w:p w14:paraId="4BCBE4BD"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The President appoints Chief Election Commissioner and Election Commissioners. They have tenure of six years, or up to the age of 65 years, whichever is earlier. They enjoy the same status and receive salary and perks as available to Judges of the Supreme Court of India. The Chief Election Commissioner can be removed from office in </w:t>
      </w:r>
      <w:proofErr w:type="gramStart"/>
      <w:r w:rsidRPr="00EF1278">
        <w:rPr>
          <w:rFonts w:ascii="Arial" w:hAnsi="Arial" w:cs="Arial"/>
          <w:sz w:val="28"/>
          <w:szCs w:val="28"/>
        </w:rPr>
        <w:t>like</w:t>
      </w:r>
      <w:proofErr w:type="gramEnd"/>
      <w:r w:rsidRPr="00EF1278">
        <w:rPr>
          <w:rFonts w:ascii="Arial" w:hAnsi="Arial" w:cs="Arial"/>
          <w:sz w:val="28"/>
          <w:szCs w:val="28"/>
        </w:rPr>
        <w:t xml:space="preserve"> manner and </w:t>
      </w:r>
      <w:proofErr w:type="gramStart"/>
      <w:r w:rsidRPr="00EF1278">
        <w:rPr>
          <w:rFonts w:ascii="Arial" w:hAnsi="Arial" w:cs="Arial"/>
          <w:sz w:val="28"/>
          <w:szCs w:val="28"/>
        </w:rPr>
        <w:t>on like</w:t>
      </w:r>
      <w:proofErr w:type="gramEnd"/>
      <w:r w:rsidRPr="00EF1278">
        <w:rPr>
          <w:rFonts w:ascii="Arial" w:hAnsi="Arial" w:cs="Arial"/>
          <w:sz w:val="28"/>
          <w:szCs w:val="28"/>
        </w:rPr>
        <w:t xml:space="preserve"> grounds as a judge of the Supreme Court.</w:t>
      </w:r>
    </w:p>
    <w:p w14:paraId="6812F7CE" w14:textId="77777777" w:rsidR="00EF1278" w:rsidRPr="00EF1278" w:rsidRDefault="00EF1278" w:rsidP="00EF1278">
      <w:pPr>
        <w:spacing w:line="360" w:lineRule="auto"/>
        <w:rPr>
          <w:rFonts w:ascii="Arial" w:hAnsi="Arial" w:cs="Arial"/>
          <w:sz w:val="28"/>
          <w:szCs w:val="28"/>
        </w:rPr>
      </w:pPr>
    </w:p>
    <w:p w14:paraId="3AB98F2D"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Transaction of Business</w:t>
      </w:r>
    </w:p>
    <w:p w14:paraId="7BB6760E"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The Commission transacts its business by holding regular meetings </w:t>
      </w:r>
      <w:proofErr w:type="gramStart"/>
      <w:r w:rsidRPr="00EF1278">
        <w:rPr>
          <w:rFonts w:ascii="Arial" w:hAnsi="Arial" w:cs="Arial"/>
          <w:sz w:val="28"/>
          <w:szCs w:val="28"/>
        </w:rPr>
        <w:t>and also</w:t>
      </w:r>
      <w:proofErr w:type="gramEnd"/>
      <w:r w:rsidRPr="00EF1278">
        <w:rPr>
          <w:rFonts w:ascii="Arial" w:hAnsi="Arial" w:cs="Arial"/>
          <w:sz w:val="28"/>
          <w:szCs w:val="28"/>
        </w:rPr>
        <w:t xml:space="preserve"> by </w:t>
      </w:r>
      <w:proofErr w:type="gramStart"/>
      <w:r w:rsidRPr="00EF1278">
        <w:rPr>
          <w:rFonts w:ascii="Arial" w:hAnsi="Arial" w:cs="Arial"/>
          <w:sz w:val="28"/>
          <w:szCs w:val="28"/>
        </w:rPr>
        <w:t>circulation of</w:t>
      </w:r>
      <w:proofErr w:type="gramEnd"/>
      <w:r w:rsidRPr="00EF1278">
        <w:rPr>
          <w:rFonts w:ascii="Arial" w:hAnsi="Arial" w:cs="Arial"/>
          <w:sz w:val="28"/>
          <w:szCs w:val="28"/>
        </w:rPr>
        <w:t xml:space="preserve"> papers. All Election Commissioners have equal say in the decision making of the Commission. The Commission, from time to time, delegates some of its executive functions to its officers in its Secretariat.</w:t>
      </w:r>
    </w:p>
    <w:p w14:paraId="21DBE695" w14:textId="77777777" w:rsidR="00EF1278" w:rsidRPr="00EF1278" w:rsidRDefault="00EF1278" w:rsidP="00EF1278">
      <w:pPr>
        <w:spacing w:line="360" w:lineRule="auto"/>
        <w:rPr>
          <w:rFonts w:ascii="Arial" w:hAnsi="Arial" w:cs="Arial"/>
          <w:sz w:val="28"/>
          <w:szCs w:val="28"/>
        </w:rPr>
      </w:pPr>
    </w:p>
    <w:p w14:paraId="0C29A066"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lastRenderedPageBreak/>
        <w:t>The Setup</w:t>
      </w:r>
    </w:p>
    <w:p w14:paraId="33FB1A5C"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The Commission has a separate Secretariat at New Delhi, consisting of about550 officials, in a hierarchical set up.</w:t>
      </w:r>
    </w:p>
    <w:p w14:paraId="432F02D4" w14:textId="77777777" w:rsidR="00EF1278" w:rsidRPr="00EF1278" w:rsidRDefault="00EF1278" w:rsidP="00EF1278">
      <w:pPr>
        <w:spacing w:line="360" w:lineRule="auto"/>
        <w:rPr>
          <w:rFonts w:ascii="Arial" w:hAnsi="Arial" w:cs="Arial"/>
          <w:sz w:val="28"/>
          <w:szCs w:val="28"/>
        </w:rPr>
      </w:pPr>
    </w:p>
    <w:p w14:paraId="7D8C5CD3"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Five or Six Deputy Election Commissioners and Director Generals who are the senior officers in the Secretariat assist the Commission. They are generally appointed from the national civil service of the country and are selected and appointed by the Commission with tenure. Directors, Principal Secretaries, and Secretaries, Under Secretaries and Deputy Secretary support the Deputy Election Commissioners and Director Generals in turn. There is functional and territorial distribution of work in the Commission. The work is organised in Divisions, Branches and Sections; each of the </w:t>
      </w:r>
      <w:proofErr w:type="gramStart"/>
      <w:r w:rsidRPr="00EF1278">
        <w:rPr>
          <w:rFonts w:ascii="Arial" w:hAnsi="Arial" w:cs="Arial"/>
          <w:sz w:val="28"/>
          <w:szCs w:val="28"/>
        </w:rPr>
        <w:t>last mentioned</w:t>
      </w:r>
      <w:proofErr w:type="gramEnd"/>
      <w:r w:rsidRPr="00EF1278">
        <w:rPr>
          <w:rFonts w:ascii="Arial" w:hAnsi="Arial" w:cs="Arial"/>
          <w:sz w:val="28"/>
          <w:szCs w:val="28"/>
        </w:rPr>
        <w:t xml:space="preserve"> units </w:t>
      </w:r>
      <w:proofErr w:type="gramStart"/>
      <w:r w:rsidRPr="00EF1278">
        <w:rPr>
          <w:rFonts w:ascii="Arial" w:hAnsi="Arial" w:cs="Arial"/>
          <w:sz w:val="28"/>
          <w:szCs w:val="28"/>
        </w:rPr>
        <w:t>is in charge of</w:t>
      </w:r>
      <w:proofErr w:type="gramEnd"/>
      <w:r w:rsidRPr="00EF1278">
        <w:rPr>
          <w:rFonts w:ascii="Arial" w:hAnsi="Arial" w:cs="Arial"/>
          <w:sz w:val="28"/>
          <w:szCs w:val="28"/>
        </w:rPr>
        <w:t xml:space="preserve"> a Section Officer. The main functional divisions are </w:t>
      </w:r>
      <w:proofErr w:type="spellStart"/>
      <w:proofErr w:type="gramStart"/>
      <w:r w:rsidRPr="00EF1278">
        <w:rPr>
          <w:rFonts w:ascii="Arial" w:hAnsi="Arial" w:cs="Arial"/>
          <w:sz w:val="28"/>
          <w:szCs w:val="28"/>
        </w:rPr>
        <w:t>Administration,Electoral</w:t>
      </w:r>
      <w:proofErr w:type="spellEnd"/>
      <w:proofErr w:type="gramEnd"/>
      <w:r w:rsidRPr="00EF1278">
        <w:rPr>
          <w:rFonts w:ascii="Arial" w:hAnsi="Arial" w:cs="Arial"/>
          <w:sz w:val="28"/>
          <w:szCs w:val="28"/>
        </w:rPr>
        <w:t xml:space="preserve"> Roll, Election Expenditure Management, Information Systems, International Cooperation, Judicial, </w:t>
      </w:r>
      <w:proofErr w:type="spellStart"/>
      <w:proofErr w:type="gramStart"/>
      <w:r w:rsidRPr="00EF1278">
        <w:rPr>
          <w:rFonts w:ascii="Arial" w:hAnsi="Arial" w:cs="Arial"/>
          <w:sz w:val="28"/>
          <w:szCs w:val="28"/>
        </w:rPr>
        <w:t>Media,Planning,Political</w:t>
      </w:r>
      <w:proofErr w:type="spellEnd"/>
      <w:proofErr w:type="gramEnd"/>
      <w:r w:rsidRPr="00EF1278">
        <w:rPr>
          <w:rFonts w:ascii="Arial" w:hAnsi="Arial" w:cs="Arial"/>
          <w:sz w:val="28"/>
          <w:szCs w:val="28"/>
        </w:rPr>
        <w:t xml:space="preserve"> Parties, Secretariat Co-ordination, and Systematic Voters' Education and Electoral Participation (SVEEP). The territorial work is distributed among separate units responsible for different Zones into which the 36 constituent States and Union Territories of the country are grouped for convenience of management.</w:t>
      </w:r>
    </w:p>
    <w:p w14:paraId="0CD1F461" w14:textId="77777777" w:rsidR="00EF1278" w:rsidRPr="00EF1278" w:rsidRDefault="00EF1278" w:rsidP="00EF1278">
      <w:pPr>
        <w:spacing w:line="360" w:lineRule="auto"/>
        <w:rPr>
          <w:rFonts w:ascii="Arial" w:hAnsi="Arial" w:cs="Arial"/>
          <w:sz w:val="28"/>
          <w:szCs w:val="28"/>
        </w:rPr>
      </w:pPr>
    </w:p>
    <w:p w14:paraId="6D98EC1A"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At the state level, the election work is supervised, subject to overall superintendence, direction and control of the Commission, by the Chief Electoral Officer of the State, who is appointed by the Commission from amongst senior civil servants from a panel of officers proposed by the </w:t>
      </w:r>
      <w:r w:rsidRPr="00EF1278">
        <w:rPr>
          <w:rFonts w:ascii="Arial" w:hAnsi="Arial" w:cs="Arial"/>
          <w:sz w:val="28"/>
          <w:szCs w:val="28"/>
        </w:rPr>
        <w:lastRenderedPageBreak/>
        <w:t xml:space="preserve">concerned state government. He is, in most of the States, a </w:t>
      </w:r>
      <w:proofErr w:type="gramStart"/>
      <w:r w:rsidRPr="00EF1278">
        <w:rPr>
          <w:rFonts w:ascii="Arial" w:hAnsi="Arial" w:cs="Arial"/>
          <w:sz w:val="28"/>
          <w:szCs w:val="28"/>
        </w:rPr>
        <w:t>full time</w:t>
      </w:r>
      <w:proofErr w:type="gramEnd"/>
      <w:r w:rsidRPr="00EF1278">
        <w:rPr>
          <w:rFonts w:ascii="Arial" w:hAnsi="Arial" w:cs="Arial"/>
          <w:sz w:val="28"/>
          <w:szCs w:val="28"/>
        </w:rPr>
        <w:t xml:space="preserve"> officer and has a small team of supporting staff.</w:t>
      </w:r>
    </w:p>
    <w:p w14:paraId="1EA68A7F" w14:textId="77777777" w:rsidR="00EF1278" w:rsidRPr="00EF1278" w:rsidRDefault="00EF1278" w:rsidP="00EF1278">
      <w:pPr>
        <w:spacing w:line="360" w:lineRule="auto"/>
        <w:rPr>
          <w:rFonts w:ascii="Arial" w:hAnsi="Arial" w:cs="Arial"/>
          <w:sz w:val="28"/>
          <w:szCs w:val="28"/>
        </w:rPr>
      </w:pPr>
    </w:p>
    <w:p w14:paraId="761BF716"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At the district and constituency levels, the District Election Officers, Electoral Registration Officers and Returning Officers, who are assisted by </w:t>
      </w:r>
      <w:proofErr w:type="gramStart"/>
      <w:r w:rsidRPr="00EF1278">
        <w:rPr>
          <w:rFonts w:ascii="Arial" w:hAnsi="Arial" w:cs="Arial"/>
          <w:sz w:val="28"/>
          <w:szCs w:val="28"/>
        </w:rPr>
        <w:t>a large number of</w:t>
      </w:r>
      <w:proofErr w:type="gramEnd"/>
      <w:r w:rsidRPr="00EF1278">
        <w:rPr>
          <w:rFonts w:ascii="Arial" w:hAnsi="Arial" w:cs="Arial"/>
          <w:sz w:val="28"/>
          <w:szCs w:val="28"/>
        </w:rPr>
        <w:t xml:space="preserve"> functionaries, perform election work. They all perform their functions relating to elections in addition to their other responsibilities. During election time, however, they are available to the Commission</w:t>
      </w:r>
      <w:proofErr w:type="gramStart"/>
      <w:r w:rsidRPr="00EF1278">
        <w:rPr>
          <w:rFonts w:ascii="Arial" w:hAnsi="Arial" w:cs="Arial"/>
          <w:sz w:val="28"/>
          <w:szCs w:val="28"/>
        </w:rPr>
        <w:t>, more or less, on</w:t>
      </w:r>
      <w:proofErr w:type="gramEnd"/>
      <w:r w:rsidRPr="00EF1278">
        <w:rPr>
          <w:rFonts w:ascii="Arial" w:hAnsi="Arial" w:cs="Arial"/>
          <w:sz w:val="28"/>
          <w:szCs w:val="28"/>
        </w:rPr>
        <w:t xml:space="preserve"> a </w:t>
      </w:r>
      <w:proofErr w:type="gramStart"/>
      <w:r w:rsidRPr="00EF1278">
        <w:rPr>
          <w:rFonts w:ascii="Arial" w:hAnsi="Arial" w:cs="Arial"/>
          <w:sz w:val="28"/>
          <w:szCs w:val="28"/>
        </w:rPr>
        <w:t>full time</w:t>
      </w:r>
      <w:proofErr w:type="gramEnd"/>
      <w:r w:rsidRPr="00EF1278">
        <w:rPr>
          <w:rFonts w:ascii="Arial" w:hAnsi="Arial" w:cs="Arial"/>
          <w:sz w:val="28"/>
          <w:szCs w:val="28"/>
        </w:rPr>
        <w:t xml:space="preserve"> basis.</w:t>
      </w:r>
    </w:p>
    <w:p w14:paraId="29E2F5BD" w14:textId="77777777" w:rsidR="00EF1278" w:rsidRPr="00EF1278" w:rsidRDefault="00EF1278" w:rsidP="00EF1278">
      <w:pPr>
        <w:spacing w:line="360" w:lineRule="auto"/>
        <w:rPr>
          <w:rFonts w:ascii="Arial" w:hAnsi="Arial" w:cs="Arial"/>
          <w:sz w:val="28"/>
          <w:szCs w:val="28"/>
        </w:rPr>
      </w:pPr>
    </w:p>
    <w:p w14:paraId="02FA191F"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The gigantic task force for conducting a countrywide general election consists of more than twelve million polling personnel and civil police forces. This huge election machinery is deemed to be on deputation to the Election Commission and is subject to its control, superintendence and discipline during the election period, extending over a period of one and half to two months.</w:t>
      </w:r>
    </w:p>
    <w:p w14:paraId="4FA27C59" w14:textId="77777777" w:rsidR="00EF1278" w:rsidRPr="00EF1278" w:rsidRDefault="00EF1278" w:rsidP="00EF1278">
      <w:pPr>
        <w:spacing w:line="360" w:lineRule="auto"/>
        <w:rPr>
          <w:rFonts w:ascii="Arial" w:hAnsi="Arial" w:cs="Arial"/>
          <w:sz w:val="28"/>
          <w:szCs w:val="28"/>
        </w:rPr>
      </w:pPr>
    </w:p>
    <w:p w14:paraId="2789441E" w14:textId="77777777" w:rsidR="00EF1278" w:rsidRPr="00EF1278" w:rsidRDefault="00EF1278" w:rsidP="00EF1278">
      <w:pPr>
        <w:spacing w:line="360" w:lineRule="auto"/>
        <w:rPr>
          <w:rFonts w:ascii="Arial" w:hAnsi="Arial" w:cs="Arial"/>
          <w:sz w:val="28"/>
          <w:szCs w:val="28"/>
        </w:rPr>
      </w:pPr>
    </w:p>
    <w:p w14:paraId="5806FEF3" w14:textId="77777777" w:rsidR="00EF1278" w:rsidRPr="00EF1278" w:rsidRDefault="00EF1278" w:rsidP="00EF1278">
      <w:pPr>
        <w:spacing w:line="360" w:lineRule="auto"/>
        <w:rPr>
          <w:rFonts w:ascii="Arial" w:hAnsi="Arial" w:cs="Arial"/>
          <w:sz w:val="28"/>
          <w:szCs w:val="28"/>
        </w:rPr>
      </w:pPr>
    </w:p>
    <w:p w14:paraId="1F6F9821" w14:textId="77777777" w:rsidR="00EF1278" w:rsidRPr="00EF1278" w:rsidRDefault="00EF1278" w:rsidP="00EF1278">
      <w:pPr>
        <w:spacing w:line="360" w:lineRule="auto"/>
        <w:rPr>
          <w:rFonts w:ascii="Arial" w:hAnsi="Arial" w:cs="Arial"/>
          <w:sz w:val="28"/>
          <w:szCs w:val="28"/>
        </w:rPr>
      </w:pPr>
    </w:p>
    <w:p w14:paraId="172BFA64"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Budget &amp; Expenditure</w:t>
      </w:r>
    </w:p>
    <w:p w14:paraId="0D317DFC"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The Secretariat of the Commission has an independent budget, which is </w:t>
      </w:r>
      <w:proofErr w:type="spellStart"/>
      <w:r w:rsidRPr="00EF1278">
        <w:rPr>
          <w:rFonts w:ascii="Arial" w:hAnsi="Arial" w:cs="Arial"/>
          <w:sz w:val="28"/>
          <w:szCs w:val="28"/>
        </w:rPr>
        <w:t>finalised</w:t>
      </w:r>
      <w:proofErr w:type="spellEnd"/>
      <w:r w:rsidRPr="00EF1278">
        <w:rPr>
          <w:rFonts w:ascii="Arial" w:hAnsi="Arial" w:cs="Arial"/>
          <w:sz w:val="28"/>
          <w:szCs w:val="28"/>
        </w:rPr>
        <w:t xml:space="preserve"> directly in consultation between the Commission and the Finance </w:t>
      </w:r>
      <w:r w:rsidRPr="00EF1278">
        <w:rPr>
          <w:rFonts w:ascii="Arial" w:hAnsi="Arial" w:cs="Arial"/>
          <w:sz w:val="28"/>
          <w:szCs w:val="28"/>
        </w:rPr>
        <w:lastRenderedPageBreak/>
        <w:t xml:space="preserve">Ministry of the Union Government. The latter generally accepts the recommendations of the Commission for its budgets. The major expenditure on actual conduct of elections is, however, reflected in the budgets of the Ministry of Law &amp; Justice (for Government of India share) and the concerned States/UTs. If elections are being held only for the Parliament, the expenditure is borne entirely by the Union Government while for the elections being held only for the State Legislature, the expenditure is borne entirely by the </w:t>
      </w:r>
      <w:proofErr w:type="gramStart"/>
      <w:r w:rsidRPr="00EF1278">
        <w:rPr>
          <w:rFonts w:ascii="Arial" w:hAnsi="Arial" w:cs="Arial"/>
          <w:sz w:val="28"/>
          <w:szCs w:val="28"/>
        </w:rPr>
        <w:t>concerned State</w:t>
      </w:r>
      <w:proofErr w:type="gramEnd"/>
      <w:r w:rsidRPr="00EF1278">
        <w:rPr>
          <w:rFonts w:ascii="Arial" w:hAnsi="Arial" w:cs="Arial"/>
          <w:sz w:val="28"/>
          <w:szCs w:val="28"/>
        </w:rPr>
        <w:t>. In case of simultaneous elections to the Parliament and State Legislature, the expenditure is shared equally between the Union and the State Governments. For Capital equipment, expenditure related to preparation for electoral rolls and the scheme for Electors' Identity Cards too, the expenditure is shared equally.</w:t>
      </w:r>
    </w:p>
    <w:p w14:paraId="3EBAF41B" w14:textId="77777777" w:rsidR="00EF1278" w:rsidRPr="00EF1278" w:rsidRDefault="00EF1278" w:rsidP="00EF1278">
      <w:pPr>
        <w:spacing w:line="360" w:lineRule="auto"/>
        <w:rPr>
          <w:rFonts w:ascii="Arial" w:hAnsi="Arial" w:cs="Arial"/>
          <w:sz w:val="28"/>
          <w:szCs w:val="28"/>
        </w:rPr>
      </w:pPr>
    </w:p>
    <w:p w14:paraId="25337532"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Executive Interference Barred</w:t>
      </w:r>
    </w:p>
    <w:p w14:paraId="4223BA48"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In the performance of its functions, </w:t>
      </w:r>
      <w:proofErr w:type="gramStart"/>
      <w:r w:rsidRPr="00EF1278">
        <w:rPr>
          <w:rFonts w:ascii="Arial" w:hAnsi="Arial" w:cs="Arial"/>
          <w:sz w:val="28"/>
          <w:szCs w:val="28"/>
        </w:rPr>
        <w:t>Election</w:t>
      </w:r>
      <w:proofErr w:type="gramEnd"/>
      <w:r w:rsidRPr="00EF1278">
        <w:rPr>
          <w:rFonts w:ascii="Arial" w:hAnsi="Arial" w:cs="Arial"/>
          <w:sz w:val="28"/>
          <w:szCs w:val="28"/>
        </w:rPr>
        <w:t xml:space="preserve"> Commission is insulated from executive interference. It is the Commission which decides the election schedules for the conduct of elections, whether general elections or bye-elections. Again, it is the Commission which decides the location of polling stations, assignment of voters to the polling stations, location of counting </w:t>
      </w:r>
      <w:proofErr w:type="spellStart"/>
      <w:r w:rsidRPr="00EF1278">
        <w:rPr>
          <w:rFonts w:ascii="Arial" w:hAnsi="Arial" w:cs="Arial"/>
          <w:sz w:val="28"/>
          <w:szCs w:val="28"/>
        </w:rPr>
        <w:t>centres</w:t>
      </w:r>
      <w:proofErr w:type="spellEnd"/>
      <w:r w:rsidRPr="00EF1278">
        <w:rPr>
          <w:rFonts w:ascii="Arial" w:hAnsi="Arial" w:cs="Arial"/>
          <w:sz w:val="28"/>
          <w:szCs w:val="28"/>
        </w:rPr>
        <w:t xml:space="preserve">, arrangements to be made in and around polling stations and counting </w:t>
      </w:r>
      <w:proofErr w:type="spellStart"/>
      <w:r w:rsidRPr="00EF1278">
        <w:rPr>
          <w:rFonts w:ascii="Arial" w:hAnsi="Arial" w:cs="Arial"/>
          <w:sz w:val="28"/>
          <w:szCs w:val="28"/>
        </w:rPr>
        <w:t>centres</w:t>
      </w:r>
      <w:proofErr w:type="spellEnd"/>
      <w:r w:rsidRPr="00EF1278">
        <w:rPr>
          <w:rFonts w:ascii="Arial" w:hAnsi="Arial" w:cs="Arial"/>
          <w:sz w:val="28"/>
          <w:szCs w:val="28"/>
        </w:rPr>
        <w:t xml:space="preserve"> and all allied matters.</w:t>
      </w:r>
    </w:p>
    <w:p w14:paraId="6FAE420E" w14:textId="77777777" w:rsidR="00EF1278" w:rsidRPr="00EF1278" w:rsidRDefault="00EF1278" w:rsidP="00EF1278">
      <w:pPr>
        <w:spacing w:line="360" w:lineRule="auto"/>
        <w:rPr>
          <w:rFonts w:ascii="Arial" w:hAnsi="Arial" w:cs="Arial"/>
          <w:sz w:val="28"/>
          <w:szCs w:val="28"/>
        </w:rPr>
      </w:pPr>
    </w:p>
    <w:p w14:paraId="0B29147E"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Political Parties &amp; The Commission</w:t>
      </w:r>
    </w:p>
    <w:p w14:paraId="4203CD90"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lastRenderedPageBreak/>
        <w:t xml:space="preserve">Political parties are registered with the Election Commission under the law. The Commission ensures inner party democracy in their functioning by insisting upon them to hold their organizational elections at periodic intervals. Political Parties so registered with it are granted recognition at the State and National levels by the Election Commission </w:t>
      </w:r>
      <w:proofErr w:type="gramStart"/>
      <w:r w:rsidRPr="00EF1278">
        <w:rPr>
          <w:rFonts w:ascii="Arial" w:hAnsi="Arial" w:cs="Arial"/>
          <w:sz w:val="28"/>
          <w:szCs w:val="28"/>
        </w:rPr>
        <w:t>on the basis of</w:t>
      </w:r>
      <w:proofErr w:type="gramEnd"/>
      <w:r w:rsidRPr="00EF1278">
        <w:rPr>
          <w:rFonts w:ascii="Arial" w:hAnsi="Arial" w:cs="Arial"/>
          <w:sz w:val="28"/>
          <w:szCs w:val="28"/>
        </w:rPr>
        <w:t xml:space="preserve"> their poll performance at general elections according to criteria prescribed by it. The Commission, as a part of its quasi-judicial jurisdiction, also settles disputes between the splinter groups of such </w:t>
      </w:r>
      <w:proofErr w:type="spellStart"/>
      <w:r w:rsidRPr="00EF1278">
        <w:rPr>
          <w:rFonts w:ascii="Arial" w:hAnsi="Arial" w:cs="Arial"/>
          <w:sz w:val="28"/>
          <w:szCs w:val="28"/>
        </w:rPr>
        <w:t>recognised</w:t>
      </w:r>
      <w:proofErr w:type="spellEnd"/>
      <w:r w:rsidRPr="00EF1278">
        <w:rPr>
          <w:rFonts w:ascii="Arial" w:hAnsi="Arial" w:cs="Arial"/>
          <w:sz w:val="28"/>
          <w:szCs w:val="28"/>
        </w:rPr>
        <w:t xml:space="preserve"> parties.</w:t>
      </w:r>
    </w:p>
    <w:p w14:paraId="26F1D219" w14:textId="77777777" w:rsidR="00EF1278" w:rsidRPr="00EF1278" w:rsidRDefault="00EF1278" w:rsidP="00EF1278">
      <w:pPr>
        <w:spacing w:line="360" w:lineRule="auto"/>
        <w:rPr>
          <w:rFonts w:ascii="Arial" w:hAnsi="Arial" w:cs="Arial"/>
          <w:sz w:val="28"/>
          <w:szCs w:val="28"/>
        </w:rPr>
      </w:pPr>
    </w:p>
    <w:p w14:paraId="2615D92F"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Election Commission ensures a level playing field for the political parties in election fray, through strict observance by them of a Model Code of Conduct evolved with the consensus of political parties.</w:t>
      </w:r>
    </w:p>
    <w:p w14:paraId="2F399A38" w14:textId="77777777" w:rsidR="00EF1278" w:rsidRPr="00EF1278" w:rsidRDefault="00EF1278" w:rsidP="00EF1278">
      <w:pPr>
        <w:spacing w:line="360" w:lineRule="auto"/>
        <w:rPr>
          <w:rFonts w:ascii="Arial" w:hAnsi="Arial" w:cs="Arial"/>
          <w:sz w:val="28"/>
          <w:szCs w:val="28"/>
        </w:rPr>
      </w:pPr>
    </w:p>
    <w:p w14:paraId="4FDE2E62"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The Commission holds periodical consultations with the political parties on matters connected with the conduct of elections; compliance of Model Code of Conduct and new measures proposed to be introduced by the Commission on election related matters.</w:t>
      </w:r>
    </w:p>
    <w:p w14:paraId="19A64FDA" w14:textId="77777777" w:rsidR="00EF1278" w:rsidRPr="00EF1278" w:rsidRDefault="00EF1278" w:rsidP="00EF1278">
      <w:pPr>
        <w:spacing w:line="360" w:lineRule="auto"/>
        <w:rPr>
          <w:rFonts w:ascii="Arial" w:hAnsi="Arial" w:cs="Arial"/>
          <w:sz w:val="28"/>
          <w:szCs w:val="28"/>
        </w:rPr>
      </w:pPr>
    </w:p>
    <w:p w14:paraId="1C522767"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Advisory Jurisdiction &amp; Quasi-Judicial Functions</w:t>
      </w:r>
    </w:p>
    <w:p w14:paraId="16BE5FA8"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Under the Constitution, the Commission also has advisory jurisdiction in the matter of </w:t>
      </w:r>
      <w:proofErr w:type="spellStart"/>
      <w:r w:rsidRPr="00EF1278">
        <w:rPr>
          <w:rFonts w:ascii="Arial" w:hAnsi="Arial" w:cs="Arial"/>
          <w:sz w:val="28"/>
          <w:szCs w:val="28"/>
        </w:rPr>
        <w:t>post election</w:t>
      </w:r>
      <w:proofErr w:type="spellEnd"/>
      <w:r w:rsidRPr="00EF1278">
        <w:rPr>
          <w:rFonts w:ascii="Arial" w:hAnsi="Arial" w:cs="Arial"/>
          <w:sz w:val="28"/>
          <w:szCs w:val="28"/>
        </w:rPr>
        <w:t xml:space="preserve"> disqualification of sitting members of Parliament and State Legislatures. The cases of </w:t>
      </w:r>
      <w:proofErr w:type="gramStart"/>
      <w:r w:rsidRPr="00EF1278">
        <w:rPr>
          <w:rFonts w:ascii="Arial" w:hAnsi="Arial" w:cs="Arial"/>
          <w:sz w:val="28"/>
          <w:szCs w:val="28"/>
        </w:rPr>
        <w:t>persons</w:t>
      </w:r>
      <w:proofErr w:type="gramEnd"/>
      <w:r w:rsidRPr="00EF1278">
        <w:rPr>
          <w:rFonts w:ascii="Arial" w:hAnsi="Arial" w:cs="Arial"/>
          <w:sz w:val="28"/>
          <w:szCs w:val="28"/>
        </w:rPr>
        <w:t xml:space="preserve"> found guilty of corrupt practices at elections which come before the Supreme Court and High Courts are also referred </w:t>
      </w:r>
      <w:proofErr w:type="gramStart"/>
      <w:r w:rsidRPr="00EF1278">
        <w:rPr>
          <w:rFonts w:ascii="Arial" w:hAnsi="Arial" w:cs="Arial"/>
          <w:sz w:val="28"/>
          <w:szCs w:val="28"/>
        </w:rPr>
        <w:t>to</w:t>
      </w:r>
      <w:proofErr w:type="gramEnd"/>
      <w:r w:rsidRPr="00EF1278">
        <w:rPr>
          <w:rFonts w:ascii="Arial" w:hAnsi="Arial" w:cs="Arial"/>
          <w:sz w:val="28"/>
          <w:szCs w:val="28"/>
        </w:rPr>
        <w:t xml:space="preserve"> the Commission for its opinion on the question as to whether </w:t>
      </w:r>
      <w:r w:rsidRPr="00EF1278">
        <w:rPr>
          <w:rFonts w:ascii="Arial" w:hAnsi="Arial" w:cs="Arial"/>
          <w:sz w:val="28"/>
          <w:szCs w:val="28"/>
        </w:rPr>
        <w:lastRenderedPageBreak/>
        <w:t xml:space="preserve">such </w:t>
      </w:r>
      <w:proofErr w:type="gramStart"/>
      <w:r w:rsidRPr="00EF1278">
        <w:rPr>
          <w:rFonts w:ascii="Arial" w:hAnsi="Arial" w:cs="Arial"/>
          <w:sz w:val="28"/>
          <w:szCs w:val="28"/>
        </w:rPr>
        <w:t>person</w:t>
      </w:r>
      <w:proofErr w:type="gramEnd"/>
      <w:r w:rsidRPr="00EF1278">
        <w:rPr>
          <w:rFonts w:ascii="Arial" w:hAnsi="Arial" w:cs="Arial"/>
          <w:sz w:val="28"/>
          <w:szCs w:val="28"/>
        </w:rPr>
        <w:t xml:space="preserve"> shall be disqualified from contesting elections and, if so, for what period. The opinion of the Commission in all such matters is binding on the President or</w:t>
      </w:r>
      <w:proofErr w:type="gramStart"/>
      <w:r w:rsidRPr="00EF1278">
        <w:rPr>
          <w:rFonts w:ascii="Arial" w:hAnsi="Arial" w:cs="Arial"/>
          <w:sz w:val="28"/>
          <w:szCs w:val="28"/>
        </w:rPr>
        <w:t>, as the case may be, the</w:t>
      </w:r>
      <w:proofErr w:type="gramEnd"/>
      <w:r w:rsidRPr="00EF1278">
        <w:rPr>
          <w:rFonts w:ascii="Arial" w:hAnsi="Arial" w:cs="Arial"/>
          <w:sz w:val="28"/>
          <w:szCs w:val="28"/>
        </w:rPr>
        <w:t xml:space="preserve"> Governor to whom such opinion is tendered.</w:t>
      </w:r>
    </w:p>
    <w:p w14:paraId="20685D37" w14:textId="77777777" w:rsidR="00EF1278" w:rsidRPr="00EF1278" w:rsidRDefault="00EF1278" w:rsidP="00EF1278">
      <w:pPr>
        <w:spacing w:line="360" w:lineRule="auto"/>
        <w:rPr>
          <w:rFonts w:ascii="Arial" w:hAnsi="Arial" w:cs="Arial"/>
          <w:sz w:val="28"/>
          <w:szCs w:val="28"/>
        </w:rPr>
      </w:pPr>
    </w:p>
    <w:p w14:paraId="5ECCCEC3"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The Commission has the power to disqualify a candidate who has failed to lodge an account of his election expenses within the time and in the manner prescribed by law. The Commission has also the power </w:t>
      </w:r>
      <w:proofErr w:type="gramStart"/>
      <w:r w:rsidRPr="00EF1278">
        <w:rPr>
          <w:rFonts w:ascii="Arial" w:hAnsi="Arial" w:cs="Arial"/>
          <w:sz w:val="28"/>
          <w:szCs w:val="28"/>
        </w:rPr>
        <w:t>for removing</w:t>
      </w:r>
      <w:proofErr w:type="gramEnd"/>
      <w:r w:rsidRPr="00EF1278">
        <w:rPr>
          <w:rFonts w:ascii="Arial" w:hAnsi="Arial" w:cs="Arial"/>
          <w:sz w:val="28"/>
          <w:szCs w:val="28"/>
        </w:rPr>
        <w:t xml:space="preserve"> or </w:t>
      </w:r>
      <w:proofErr w:type="gramStart"/>
      <w:r w:rsidRPr="00EF1278">
        <w:rPr>
          <w:rFonts w:ascii="Arial" w:hAnsi="Arial" w:cs="Arial"/>
          <w:sz w:val="28"/>
          <w:szCs w:val="28"/>
        </w:rPr>
        <w:t>reducing</w:t>
      </w:r>
      <w:proofErr w:type="gramEnd"/>
      <w:r w:rsidRPr="00EF1278">
        <w:rPr>
          <w:rFonts w:ascii="Arial" w:hAnsi="Arial" w:cs="Arial"/>
          <w:sz w:val="28"/>
          <w:szCs w:val="28"/>
        </w:rPr>
        <w:t xml:space="preserve"> the period of such disqualification as also other disqualification under the law.</w:t>
      </w:r>
    </w:p>
    <w:p w14:paraId="7224E920" w14:textId="77777777" w:rsidR="00EF1278" w:rsidRPr="00EF1278" w:rsidRDefault="00EF1278" w:rsidP="00EF1278">
      <w:pPr>
        <w:spacing w:line="360" w:lineRule="auto"/>
        <w:rPr>
          <w:rFonts w:ascii="Arial" w:hAnsi="Arial" w:cs="Arial"/>
          <w:sz w:val="28"/>
          <w:szCs w:val="28"/>
        </w:rPr>
      </w:pPr>
    </w:p>
    <w:p w14:paraId="0D106C1C"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Judicial Review</w:t>
      </w:r>
    </w:p>
    <w:p w14:paraId="4A102ED6"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The elections to the Parliament and State Legislatures can be challenged in the High Court and the Supreme Court of India by an election petition after elections are over. By virtue of Article 329 of the Constitution once the actual process of elections is started, the judiciary cannot intervene by entertaining petitions on the conduct of the polls. Once the polls are completed and </w:t>
      </w:r>
      <w:proofErr w:type="gramStart"/>
      <w:r w:rsidRPr="00EF1278">
        <w:rPr>
          <w:rFonts w:ascii="Arial" w:hAnsi="Arial" w:cs="Arial"/>
          <w:sz w:val="28"/>
          <w:szCs w:val="28"/>
        </w:rPr>
        <w:t>result</w:t>
      </w:r>
      <w:proofErr w:type="gramEnd"/>
      <w:r w:rsidRPr="00EF1278">
        <w:rPr>
          <w:rFonts w:ascii="Arial" w:hAnsi="Arial" w:cs="Arial"/>
          <w:sz w:val="28"/>
          <w:szCs w:val="28"/>
        </w:rPr>
        <w:t xml:space="preserve"> declared, the Commission cannot review any result on its own. This can only be reviewed through the process of an election petition, which can be filed before the High Court, in respect of elections to the Parliament and State Legislatures. In respect of elections for the offices of the President and Vice President, such petitions can only be filed before the Supreme Court.</w:t>
      </w:r>
    </w:p>
    <w:p w14:paraId="69E19837" w14:textId="77777777" w:rsidR="00EF1278" w:rsidRPr="00EF1278" w:rsidRDefault="00EF1278" w:rsidP="00EF1278">
      <w:pPr>
        <w:spacing w:line="360" w:lineRule="auto"/>
        <w:rPr>
          <w:rFonts w:ascii="Arial" w:hAnsi="Arial" w:cs="Arial"/>
          <w:sz w:val="28"/>
          <w:szCs w:val="28"/>
        </w:rPr>
      </w:pPr>
    </w:p>
    <w:p w14:paraId="0E9952F8"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lastRenderedPageBreak/>
        <w:t>Media Policy</w:t>
      </w:r>
    </w:p>
    <w:p w14:paraId="2B10B788"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The Commission has a comprehensive policy for the media. It holds regular briefings </w:t>
      </w:r>
      <w:proofErr w:type="gramStart"/>
      <w:r w:rsidRPr="00EF1278">
        <w:rPr>
          <w:rFonts w:ascii="Arial" w:hAnsi="Arial" w:cs="Arial"/>
          <w:sz w:val="28"/>
          <w:szCs w:val="28"/>
        </w:rPr>
        <w:t>for</w:t>
      </w:r>
      <w:proofErr w:type="gramEnd"/>
      <w:r w:rsidRPr="00EF1278">
        <w:rPr>
          <w:rFonts w:ascii="Arial" w:hAnsi="Arial" w:cs="Arial"/>
          <w:sz w:val="28"/>
          <w:szCs w:val="28"/>
        </w:rPr>
        <w:t xml:space="preserve"> the mass </w:t>
      </w:r>
      <w:proofErr w:type="gramStart"/>
      <w:r w:rsidRPr="00EF1278">
        <w:rPr>
          <w:rFonts w:ascii="Arial" w:hAnsi="Arial" w:cs="Arial"/>
          <w:sz w:val="28"/>
          <w:szCs w:val="28"/>
        </w:rPr>
        <w:t>media-print</w:t>
      </w:r>
      <w:proofErr w:type="gramEnd"/>
      <w:r w:rsidRPr="00EF1278">
        <w:rPr>
          <w:rFonts w:ascii="Arial" w:hAnsi="Arial" w:cs="Arial"/>
          <w:sz w:val="28"/>
          <w:szCs w:val="28"/>
        </w:rPr>
        <w:t xml:space="preserve"> and electronic, on a regular basis, at close intervals during the election period and on specific occasions as necessary on other occasions. The representatives of the media are also </w:t>
      </w:r>
      <w:proofErr w:type="gramStart"/>
      <w:r w:rsidRPr="00EF1278">
        <w:rPr>
          <w:rFonts w:ascii="Arial" w:hAnsi="Arial" w:cs="Arial"/>
          <w:sz w:val="28"/>
          <w:szCs w:val="28"/>
        </w:rPr>
        <w:t>provided</w:t>
      </w:r>
      <w:proofErr w:type="gramEnd"/>
      <w:r w:rsidRPr="00EF1278">
        <w:rPr>
          <w:rFonts w:ascii="Arial" w:hAnsi="Arial" w:cs="Arial"/>
          <w:sz w:val="28"/>
          <w:szCs w:val="28"/>
        </w:rPr>
        <w:t xml:space="preserve"> facilities to report on actual conduct of poll and counting. They are allowed entry into polling stations and counting </w:t>
      </w:r>
      <w:proofErr w:type="spellStart"/>
      <w:r w:rsidRPr="00EF1278">
        <w:rPr>
          <w:rFonts w:ascii="Arial" w:hAnsi="Arial" w:cs="Arial"/>
          <w:sz w:val="28"/>
          <w:szCs w:val="28"/>
        </w:rPr>
        <w:t>centres</w:t>
      </w:r>
      <w:proofErr w:type="spellEnd"/>
      <w:r w:rsidRPr="00EF1278">
        <w:rPr>
          <w:rFonts w:ascii="Arial" w:hAnsi="Arial" w:cs="Arial"/>
          <w:sz w:val="28"/>
          <w:szCs w:val="28"/>
        </w:rPr>
        <w:t xml:space="preserve"> </w:t>
      </w:r>
      <w:proofErr w:type="gramStart"/>
      <w:r w:rsidRPr="00EF1278">
        <w:rPr>
          <w:rFonts w:ascii="Arial" w:hAnsi="Arial" w:cs="Arial"/>
          <w:sz w:val="28"/>
          <w:szCs w:val="28"/>
        </w:rPr>
        <w:t>on the basis of</w:t>
      </w:r>
      <w:proofErr w:type="gramEnd"/>
      <w:r w:rsidRPr="00EF1278">
        <w:rPr>
          <w:rFonts w:ascii="Arial" w:hAnsi="Arial" w:cs="Arial"/>
          <w:sz w:val="28"/>
          <w:szCs w:val="28"/>
        </w:rPr>
        <w:t xml:space="preserve"> authority letters issued by the Commission. They include members of both international and national media. The Commission also publishes statistical reports and other documents which are available in the public domain.</w:t>
      </w:r>
    </w:p>
    <w:p w14:paraId="3B5DA22A" w14:textId="77777777" w:rsidR="00EF1278" w:rsidRPr="00EF1278" w:rsidRDefault="00EF1278" w:rsidP="00EF1278">
      <w:pPr>
        <w:spacing w:line="360" w:lineRule="auto"/>
        <w:rPr>
          <w:rFonts w:ascii="Arial" w:hAnsi="Arial" w:cs="Arial"/>
          <w:sz w:val="28"/>
          <w:szCs w:val="28"/>
        </w:rPr>
      </w:pPr>
    </w:p>
    <w:p w14:paraId="12230339"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Voter Education</w:t>
      </w:r>
    </w:p>
    <w:p w14:paraId="643F4CA4"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Systematic Voters' Education &amp; Electoral Participation (SVEEP) is a </w:t>
      </w:r>
      <w:proofErr w:type="gramStart"/>
      <w:r w:rsidRPr="00EF1278">
        <w:rPr>
          <w:rFonts w:ascii="Arial" w:hAnsi="Arial" w:cs="Arial"/>
          <w:sz w:val="28"/>
          <w:szCs w:val="28"/>
        </w:rPr>
        <w:t>Multi-intervention</w:t>
      </w:r>
      <w:proofErr w:type="gramEnd"/>
      <w:r w:rsidRPr="00EF1278">
        <w:rPr>
          <w:rFonts w:ascii="Arial" w:hAnsi="Arial" w:cs="Arial"/>
          <w:sz w:val="28"/>
          <w:szCs w:val="28"/>
        </w:rPr>
        <w:t xml:space="preserve"> </w:t>
      </w:r>
      <w:proofErr w:type="spellStart"/>
      <w:r w:rsidRPr="00EF1278">
        <w:rPr>
          <w:rFonts w:ascii="Arial" w:hAnsi="Arial" w:cs="Arial"/>
          <w:sz w:val="28"/>
          <w:szCs w:val="28"/>
        </w:rPr>
        <w:t>programme</w:t>
      </w:r>
      <w:proofErr w:type="spellEnd"/>
      <w:r w:rsidRPr="00EF1278">
        <w:rPr>
          <w:rFonts w:ascii="Arial" w:hAnsi="Arial" w:cs="Arial"/>
          <w:sz w:val="28"/>
          <w:szCs w:val="28"/>
        </w:rPr>
        <w:t xml:space="preserve"> that </w:t>
      </w:r>
      <w:proofErr w:type="gramStart"/>
      <w:r w:rsidRPr="00EF1278">
        <w:rPr>
          <w:rFonts w:ascii="Arial" w:hAnsi="Arial" w:cs="Arial"/>
          <w:sz w:val="28"/>
          <w:szCs w:val="28"/>
        </w:rPr>
        <w:t>reaches out</w:t>
      </w:r>
      <w:proofErr w:type="gramEnd"/>
      <w:r w:rsidRPr="00EF1278">
        <w:rPr>
          <w:rFonts w:ascii="Arial" w:hAnsi="Arial" w:cs="Arial"/>
          <w:sz w:val="28"/>
          <w:szCs w:val="28"/>
        </w:rPr>
        <w:t xml:space="preserve"> to educate citizens about the electoral process </w:t>
      </w:r>
      <w:proofErr w:type="gramStart"/>
      <w:r w:rsidRPr="00EF1278">
        <w:rPr>
          <w:rFonts w:ascii="Arial" w:hAnsi="Arial" w:cs="Arial"/>
          <w:sz w:val="28"/>
          <w:szCs w:val="28"/>
        </w:rPr>
        <w:t>in order to</w:t>
      </w:r>
      <w:proofErr w:type="gramEnd"/>
      <w:r w:rsidRPr="00EF1278">
        <w:rPr>
          <w:rFonts w:ascii="Arial" w:hAnsi="Arial" w:cs="Arial"/>
          <w:sz w:val="28"/>
          <w:szCs w:val="28"/>
        </w:rPr>
        <w:t xml:space="preserve"> increase awareness and participation. The objectives of SVEEP are to increase electoral participation through voter registration and turnout, to increase qualitative participation in terms of ethical and informed voting and continuous electoral and democracy education.</w:t>
      </w:r>
    </w:p>
    <w:p w14:paraId="6B6C0C7D" w14:textId="77777777" w:rsidR="00EF1278" w:rsidRPr="00EF1278" w:rsidRDefault="00EF1278" w:rsidP="00EF1278">
      <w:pPr>
        <w:spacing w:line="360" w:lineRule="auto"/>
        <w:rPr>
          <w:rFonts w:ascii="Arial" w:hAnsi="Arial" w:cs="Arial"/>
          <w:sz w:val="28"/>
          <w:szCs w:val="28"/>
        </w:rPr>
      </w:pPr>
    </w:p>
    <w:p w14:paraId="2B27FA3E"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International Co-Operation</w:t>
      </w:r>
    </w:p>
    <w:p w14:paraId="37B7E67A"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India, as the largest practicing democracy in the world and with over 75 years’ record of holding effective, transparent and credible elections, playing a leading role in promoting participatory democracy and election </w:t>
      </w:r>
      <w:r w:rsidRPr="00EF1278">
        <w:rPr>
          <w:rFonts w:ascii="Arial" w:hAnsi="Arial" w:cs="Arial"/>
          <w:sz w:val="28"/>
          <w:szCs w:val="28"/>
        </w:rPr>
        <w:lastRenderedPageBreak/>
        <w:t>administration world-wide. Election Commission of India is a founding member and past Chair of the Association of World Election Bodies (A-WEB), a body comprising 119 Election Management Bodies from around the globe as its members; founding member and Chair of the Association of the Asian Election Authorities (AAEA), past chair of the Forum of Election Management Bodies of South Asia (</w:t>
      </w:r>
      <w:proofErr w:type="spellStart"/>
      <w:r w:rsidRPr="00EF1278">
        <w:rPr>
          <w:rFonts w:ascii="Arial" w:hAnsi="Arial" w:cs="Arial"/>
          <w:sz w:val="28"/>
          <w:szCs w:val="28"/>
        </w:rPr>
        <w:t>FEMBoSA</w:t>
      </w:r>
      <w:proofErr w:type="spellEnd"/>
      <w:r w:rsidRPr="00EF1278">
        <w:rPr>
          <w:rFonts w:ascii="Arial" w:hAnsi="Arial" w:cs="Arial"/>
          <w:sz w:val="28"/>
          <w:szCs w:val="28"/>
        </w:rPr>
        <w:t xml:space="preserve">), member of International Institute for Democracy and Electoral Assistance (Intl. IDEA), Stockholm and Commonwealth Electoral Network (CEN) (2010). ECI has always championed the need for international cooperation among democracies, nurtured steady collaborations, learning from each other and sharing experiences and best practices in the areas of Electoral Management and Administration, Electoral Laws and Reforms, Information &amp; Technology with a view to </w:t>
      </w:r>
      <w:proofErr w:type="gramStart"/>
      <w:r w:rsidRPr="00EF1278">
        <w:rPr>
          <w:rFonts w:ascii="Arial" w:hAnsi="Arial" w:cs="Arial"/>
          <w:sz w:val="28"/>
          <w:szCs w:val="28"/>
        </w:rPr>
        <w:t>strengthen</w:t>
      </w:r>
      <w:proofErr w:type="gramEnd"/>
      <w:r w:rsidRPr="00EF1278">
        <w:rPr>
          <w:rFonts w:ascii="Arial" w:hAnsi="Arial" w:cs="Arial"/>
          <w:sz w:val="28"/>
          <w:szCs w:val="28"/>
        </w:rPr>
        <w:t xml:space="preserve"> democracy worldwide.</w:t>
      </w:r>
    </w:p>
    <w:p w14:paraId="2511BAE0" w14:textId="77777777" w:rsidR="00EF1278" w:rsidRPr="00EF1278" w:rsidRDefault="00EF1278" w:rsidP="00EF1278">
      <w:pPr>
        <w:spacing w:line="360" w:lineRule="auto"/>
        <w:rPr>
          <w:rFonts w:ascii="Arial" w:hAnsi="Arial" w:cs="Arial"/>
          <w:sz w:val="28"/>
          <w:szCs w:val="28"/>
        </w:rPr>
      </w:pPr>
    </w:p>
    <w:p w14:paraId="343AF413"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ECI has signed </w:t>
      </w:r>
      <w:proofErr w:type="gramStart"/>
      <w:r w:rsidRPr="00EF1278">
        <w:rPr>
          <w:rFonts w:ascii="Arial" w:hAnsi="Arial" w:cs="Arial"/>
          <w:sz w:val="28"/>
          <w:szCs w:val="28"/>
        </w:rPr>
        <w:t>Memorandum</w:t>
      </w:r>
      <w:proofErr w:type="gramEnd"/>
      <w:r w:rsidRPr="00EF1278">
        <w:rPr>
          <w:rFonts w:ascii="Arial" w:hAnsi="Arial" w:cs="Arial"/>
          <w:sz w:val="28"/>
          <w:szCs w:val="28"/>
        </w:rPr>
        <w:t xml:space="preserve"> of Understandings (</w:t>
      </w:r>
      <w:proofErr w:type="spellStart"/>
      <w:r w:rsidRPr="00EF1278">
        <w:rPr>
          <w:rFonts w:ascii="Arial" w:hAnsi="Arial" w:cs="Arial"/>
          <w:sz w:val="28"/>
          <w:szCs w:val="28"/>
        </w:rPr>
        <w:t>MoUs</w:t>
      </w:r>
      <w:proofErr w:type="spellEnd"/>
      <w:r w:rsidRPr="00EF1278">
        <w:rPr>
          <w:rFonts w:ascii="Arial" w:hAnsi="Arial" w:cs="Arial"/>
          <w:sz w:val="28"/>
          <w:szCs w:val="28"/>
        </w:rPr>
        <w:t xml:space="preserve">) with 28 Electoral Management Bodies (EMBs) and 3 International </w:t>
      </w:r>
      <w:proofErr w:type="spellStart"/>
      <w:r w:rsidRPr="00EF1278">
        <w:rPr>
          <w:rFonts w:ascii="Arial" w:hAnsi="Arial" w:cs="Arial"/>
          <w:sz w:val="28"/>
          <w:szCs w:val="28"/>
        </w:rPr>
        <w:t>Organisations</w:t>
      </w:r>
      <w:proofErr w:type="spellEnd"/>
      <w:r w:rsidRPr="00EF1278">
        <w:rPr>
          <w:rFonts w:ascii="Arial" w:hAnsi="Arial" w:cs="Arial"/>
          <w:sz w:val="28"/>
          <w:szCs w:val="28"/>
        </w:rPr>
        <w:t xml:space="preserve"> i.e. International Foundation for Electoral Systems (IFES), International IDEA and United Nations. These </w:t>
      </w:r>
      <w:proofErr w:type="spellStart"/>
      <w:r w:rsidRPr="00EF1278">
        <w:rPr>
          <w:rFonts w:ascii="Arial" w:hAnsi="Arial" w:cs="Arial"/>
          <w:sz w:val="28"/>
          <w:szCs w:val="28"/>
        </w:rPr>
        <w:t>MoUs</w:t>
      </w:r>
      <w:proofErr w:type="spellEnd"/>
      <w:r w:rsidRPr="00EF1278">
        <w:rPr>
          <w:rFonts w:ascii="Arial" w:hAnsi="Arial" w:cs="Arial"/>
          <w:sz w:val="28"/>
          <w:szCs w:val="28"/>
        </w:rPr>
        <w:t xml:space="preserve"> provide institutional framework for collaborative activities like experience sharing, capacity building, technical cooperation and exchange, visits and study missions.</w:t>
      </w:r>
    </w:p>
    <w:p w14:paraId="54B2486E" w14:textId="77777777" w:rsidR="00EF1278" w:rsidRPr="00EF1278" w:rsidRDefault="00EF1278" w:rsidP="00EF1278">
      <w:pPr>
        <w:spacing w:line="360" w:lineRule="auto"/>
        <w:rPr>
          <w:rFonts w:ascii="Arial" w:hAnsi="Arial" w:cs="Arial"/>
          <w:sz w:val="28"/>
          <w:szCs w:val="28"/>
        </w:rPr>
      </w:pPr>
    </w:p>
    <w:p w14:paraId="56918165"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Consequent to the decision taken in the Extraordinary Executive Board Meeting of A-WEB held on 2ndSeptember, 2019, the Election Commission of India has established a Regional </w:t>
      </w:r>
      <w:proofErr w:type="spellStart"/>
      <w:r w:rsidRPr="00EF1278">
        <w:rPr>
          <w:rFonts w:ascii="Arial" w:hAnsi="Arial" w:cs="Arial"/>
          <w:sz w:val="28"/>
          <w:szCs w:val="28"/>
        </w:rPr>
        <w:t>Centreof</w:t>
      </w:r>
      <w:proofErr w:type="spellEnd"/>
      <w:r w:rsidRPr="00EF1278">
        <w:rPr>
          <w:rFonts w:ascii="Arial" w:hAnsi="Arial" w:cs="Arial"/>
          <w:sz w:val="28"/>
          <w:szCs w:val="28"/>
        </w:rPr>
        <w:t xml:space="preserve"> A-</w:t>
      </w:r>
      <w:proofErr w:type="spellStart"/>
      <w:r w:rsidRPr="00EF1278">
        <w:rPr>
          <w:rFonts w:ascii="Arial" w:hAnsi="Arial" w:cs="Arial"/>
          <w:sz w:val="28"/>
          <w:szCs w:val="28"/>
        </w:rPr>
        <w:t>WEBin</w:t>
      </w:r>
      <w:proofErr w:type="spellEnd"/>
      <w:r w:rsidRPr="00EF1278">
        <w:rPr>
          <w:rFonts w:ascii="Arial" w:hAnsi="Arial" w:cs="Arial"/>
          <w:sz w:val="28"/>
          <w:szCs w:val="28"/>
        </w:rPr>
        <w:t xml:space="preserve"> New Delhi namely ‘India A–WEB Center’. The Centre is </w:t>
      </w:r>
      <w:proofErr w:type="gramStart"/>
      <w:r w:rsidRPr="00EF1278">
        <w:rPr>
          <w:rFonts w:ascii="Arial" w:hAnsi="Arial" w:cs="Arial"/>
          <w:sz w:val="28"/>
          <w:szCs w:val="28"/>
        </w:rPr>
        <w:t>mandated  to</w:t>
      </w:r>
      <w:proofErr w:type="gramEnd"/>
      <w:r w:rsidRPr="00EF1278">
        <w:rPr>
          <w:rFonts w:ascii="Arial" w:hAnsi="Arial" w:cs="Arial"/>
          <w:sz w:val="28"/>
          <w:szCs w:val="28"/>
        </w:rPr>
        <w:t xml:space="preserve"> take up ‘Documentation, </w:t>
      </w:r>
      <w:r w:rsidRPr="00EF1278">
        <w:rPr>
          <w:rFonts w:ascii="Arial" w:hAnsi="Arial" w:cs="Arial"/>
          <w:sz w:val="28"/>
          <w:szCs w:val="28"/>
        </w:rPr>
        <w:lastRenderedPageBreak/>
        <w:t>Research and Training</w:t>
      </w:r>
      <w:proofErr w:type="gramStart"/>
      <w:r w:rsidRPr="00EF1278">
        <w:rPr>
          <w:rFonts w:ascii="Arial" w:hAnsi="Arial" w:cs="Arial"/>
          <w:sz w:val="28"/>
          <w:szCs w:val="28"/>
        </w:rPr>
        <w:t>’  for</w:t>
      </w:r>
      <w:proofErr w:type="gramEnd"/>
      <w:r w:rsidRPr="00EF1278">
        <w:rPr>
          <w:rFonts w:ascii="Arial" w:hAnsi="Arial" w:cs="Arial"/>
          <w:sz w:val="28"/>
          <w:szCs w:val="28"/>
        </w:rPr>
        <w:t xml:space="preserve"> A-WEB Members for sharing best practices and capacity building </w:t>
      </w:r>
      <w:proofErr w:type="gramStart"/>
      <w:r w:rsidRPr="00EF1278">
        <w:rPr>
          <w:rFonts w:ascii="Arial" w:hAnsi="Arial" w:cs="Arial"/>
          <w:sz w:val="28"/>
          <w:szCs w:val="28"/>
        </w:rPr>
        <w:t>among  the</w:t>
      </w:r>
      <w:proofErr w:type="gramEnd"/>
      <w:r w:rsidRPr="00EF1278">
        <w:rPr>
          <w:rFonts w:ascii="Arial" w:hAnsi="Arial" w:cs="Arial"/>
          <w:sz w:val="28"/>
          <w:szCs w:val="28"/>
        </w:rPr>
        <w:t xml:space="preserve"> members of A-WEB in election management. </w:t>
      </w:r>
    </w:p>
    <w:p w14:paraId="271DECF0" w14:textId="77777777" w:rsidR="00EF1278" w:rsidRPr="00EF1278" w:rsidRDefault="00EF1278" w:rsidP="00EF1278">
      <w:pPr>
        <w:spacing w:line="360" w:lineRule="auto"/>
        <w:rPr>
          <w:rFonts w:ascii="Arial" w:hAnsi="Arial" w:cs="Arial"/>
          <w:sz w:val="28"/>
          <w:szCs w:val="28"/>
        </w:rPr>
      </w:pPr>
    </w:p>
    <w:p w14:paraId="42178695"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Since 2011, ECI, through its premier training institute IIIDEM, successfully imparted </w:t>
      </w:r>
      <w:proofErr w:type="gramStart"/>
      <w:r w:rsidRPr="00EF1278">
        <w:rPr>
          <w:rFonts w:ascii="Arial" w:hAnsi="Arial" w:cs="Arial"/>
          <w:sz w:val="28"/>
          <w:szCs w:val="28"/>
        </w:rPr>
        <w:t>trainings</w:t>
      </w:r>
      <w:proofErr w:type="gramEnd"/>
      <w:r w:rsidRPr="00EF1278">
        <w:rPr>
          <w:rFonts w:ascii="Arial" w:hAnsi="Arial" w:cs="Arial"/>
          <w:sz w:val="28"/>
          <w:szCs w:val="28"/>
        </w:rPr>
        <w:t xml:space="preserve"> to the 69,362 Election Officials from the 109countries. The Commission has also provided experts and observers for elections to the various countries i.e. Fiji, Cambodia, Thailand, Nepal, Uzbekistan, Kazakhstan, Zimbabwe and Sri Lanka etc. Nepal, Bhutan and Namibia are using the Electronic Voting Machines manufactured in India and the Election Commission of India provided them necessary technical assistance.</w:t>
      </w:r>
    </w:p>
    <w:p w14:paraId="1B92E257" w14:textId="77777777" w:rsidR="00EF1278" w:rsidRPr="00EF1278" w:rsidRDefault="00EF1278" w:rsidP="00EF1278">
      <w:pPr>
        <w:spacing w:line="360" w:lineRule="auto"/>
        <w:rPr>
          <w:rFonts w:ascii="Arial" w:hAnsi="Arial" w:cs="Arial"/>
          <w:sz w:val="28"/>
          <w:szCs w:val="28"/>
        </w:rPr>
      </w:pPr>
    </w:p>
    <w:p w14:paraId="6D01DFC5"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International Election Visitors’ Program (IEVP) is a flagship program of the Election Commission of India for international cooperation and engagement with the Election Management Bodies (EMBs) of other countries and International Organizations. IEVPs provide the participants an overview of the large canvas of Indian electoral process, the new initiatives taken by ECI on voter facilitation, transparency and accessibility of electoral system, enhanced use of Information and Communication Technology to Strengthen Citizen’s participation and </w:t>
      </w:r>
      <w:proofErr w:type="spellStart"/>
      <w:r w:rsidRPr="00EF1278">
        <w:rPr>
          <w:rFonts w:ascii="Arial" w:hAnsi="Arial" w:cs="Arial"/>
          <w:sz w:val="28"/>
          <w:szCs w:val="28"/>
        </w:rPr>
        <w:t>transparency.The</w:t>
      </w:r>
      <w:proofErr w:type="spellEnd"/>
      <w:r w:rsidRPr="00EF1278">
        <w:rPr>
          <w:rFonts w:ascii="Arial" w:hAnsi="Arial" w:cs="Arial"/>
          <w:sz w:val="28"/>
          <w:szCs w:val="28"/>
        </w:rPr>
        <w:t xml:space="preserve"> Commission has organized IEVPs for international community since 2014 and the last three International Election Visitors’ </w:t>
      </w:r>
      <w:proofErr w:type="spellStart"/>
      <w:r w:rsidRPr="00EF1278">
        <w:rPr>
          <w:rFonts w:ascii="Arial" w:hAnsi="Arial" w:cs="Arial"/>
          <w:sz w:val="28"/>
          <w:szCs w:val="28"/>
        </w:rPr>
        <w:t>Programmes</w:t>
      </w:r>
      <w:proofErr w:type="spellEnd"/>
      <w:r w:rsidRPr="00EF1278">
        <w:rPr>
          <w:rFonts w:ascii="Arial" w:hAnsi="Arial" w:cs="Arial"/>
          <w:sz w:val="28"/>
          <w:szCs w:val="28"/>
        </w:rPr>
        <w:t xml:space="preserve"> (IEVPs) in 2020, 2021 and 2022 were organized in virtual format amid the Covid-19 pandemic.</w:t>
      </w:r>
    </w:p>
    <w:p w14:paraId="7BF2834C" w14:textId="77777777" w:rsidR="00EF1278" w:rsidRPr="00EF1278" w:rsidRDefault="00EF1278" w:rsidP="00EF1278">
      <w:pPr>
        <w:spacing w:line="360" w:lineRule="auto"/>
        <w:rPr>
          <w:rFonts w:ascii="Arial" w:hAnsi="Arial" w:cs="Arial"/>
          <w:sz w:val="28"/>
          <w:szCs w:val="28"/>
        </w:rPr>
      </w:pPr>
    </w:p>
    <w:p w14:paraId="21A3E8D5"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New Initiatives</w:t>
      </w:r>
    </w:p>
    <w:p w14:paraId="2827EE59"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lastRenderedPageBreak/>
        <w:t xml:space="preserve">The Commission has taken several new initiatives in the recent past. Notable among these are, a scheme for use of State owned Electronic Media for broadcast/telecast by Political parties, checking </w:t>
      </w:r>
      <w:proofErr w:type="spellStart"/>
      <w:r w:rsidRPr="00EF1278">
        <w:rPr>
          <w:rFonts w:ascii="Arial" w:hAnsi="Arial" w:cs="Arial"/>
          <w:sz w:val="28"/>
          <w:szCs w:val="28"/>
        </w:rPr>
        <w:t>criminalisation</w:t>
      </w:r>
      <w:proofErr w:type="spellEnd"/>
      <w:r w:rsidRPr="00EF1278">
        <w:rPr>
          <w:rFonts w:ascii="Arial" w:hAnsi="Arial" w:cs="Arial"/>
          <w:sz w:val="28"/>
          <w:szCs w:val="28"/>
        </w:rPr>
        <w:t xml:space="preserve"> of politics, </w:t>
      </w:r>
      <w:proofErr w:type="spellStart"/>
      <w:r w:rsidRPr="00EF1278">
        <w:rPr>
          <w:rFonts w:ascii="Arial" w:hAnsi="Arial" w:cs="Arial"/>
          <w:sz w:val="28"/>
          <w:szCs w:val="28"/>
        </w:rPr>
        <w:t>computerisation</w:t>
      </w:r>
      <w:proofErr w:type="spellEnd"/>
      <w:r w:rsidRPr="00EF1278">
        <w:rPr>
          <w:rFonts w:ascii="Arial" w:hAnsi="Arial" w:cs="Arial"/>
          <w:sz w:val="28"/>
          <w:szCs w:val="28"/>
        </w:rPr>
        <w:t xml:space="preserve"> of electoral rolls, providing electors with Identity Cards, simplifying the procedure for maintenance of accounts and filling of the same by candidates and a variety of measures for strict compliance of Model Code of Conduct, for providing a level playing field to contestants during the elections.</w:t>
      </w:r>
    </w:p>
    <w:p w14:paraId="1EEFA44D" w14:textId="77777777" w:rsidR="00EF1278" w:rsidRPr="00EF1278" w:rsidRDefault="00EF1278" w:rsidP="00EF1278">
      <w:pPr>
        <w:spacing w:line="360" w:lineRule="auto"/>
        <w:rPr>
          <w:rFonts w:ascii="Arial" w:hAnsi="Arial" w:cs="Arial"/>
          <w:sz w:val="28"/>
          <w:szCs w:val="28"/>
        </w:rPr>
      </w:pPr>
    </w:p>
    <w:p w14:paraId="6A7EDAE3"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The Commission with a view to </w:t>
      </w:r>
      <w:proofErr w:type="gramStart"/>
      <w:r w:rsidRPr="00EF1278">
        <w:rPr>
          <w:rFonts w:ascii="Arial" w:hAnsi="Arial" w:cs="Arial"/>
          <w:sz w:val="28"/>
          <w:szCs w:val="28"/>
        </w:rPr>
        <w:t>reform</w:t>
      </w:r>
      <w:proofErr w:type="gramEnd"/>
      <w:r w:rsidRPr="00EF1278">
        <w:rPr>
          <w:rFonts w:ascii="Arial" w:hAnsi="Arial" w:cs="Arial"/>
          <w:sz w:val="28"/>
          <w:szCs w:val="28"/>
        </w:rPr>
        <w:t xml:space="preserve"> </w:t>
      </w:r>
      <w:proofErr w:type="gramStart"/>
      <w:r w:rsidRPr="00EF1278">
        <w:rPr>
          <w:rFonts w:ascii="Arial" w:hAnsi="Arial" w:cs="Arial"/>
          <w:sz w:val="28"/>
          <w:szCs w:val="28"/>
        </w:rPr>
        <w:t>electoral</w:t>
      </w:r>
      <w:proofErr w:type="gramEnd"/>
      <w:r w:rsidRPr="00EF1278">
        <w:rPr>
          <w:rFonts w:ascii="Arial" w:hAnsi="Arial" w:cs="Arial"/>
          <w:sz w:val="28"/>
          <w:szCs w:val="28"/>
        </w:rPr>
        <w:t xml:space="preserve"> process has taken some more initiatives recently, which are given below:</w:t>
      </w:r>
    </w:p>
    <w:p w14:paraId="1FA02A28" w14:textId="77777777" w:rsidR="00EF1278" w:rsidRPr="00EF1278" w:rsidRDefault="00EF1278" w:rsidP="00EF1278">
      <w:pPr>
        <w:spacing w:line="360" w:lineRule="auto"/>
        <w:rPr>
          <w:rFonts w:ascii="Arial" w:hAnsi="Arial" w:cs="Arial"/>
          <w:sz w:val="28"/>
          <w:szCs w:val="28"/>
        </w:rPr>
      </w:pPr>
    </w:p>
    <w:p w14:paraId="5E7E0564"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1. Requirement of publishing details of candidates with pending criminal cases:</w:t>
      </w:r>
    </w:p>
    <w:p w14:paraId="23A1A466" w14:textId="77777777" w:rsidR="00EF1278" w:rsidRPr="00EF1278" w:rsidRDefault="00EF1278" w:rsidP="00EF1278">
      <w:pPr>
        <w:spacing w:line="360" w:lineRule="auto"/>
        <w:rPr>
          <w:rFonts w:ascii="Arial" w:hAnsi="Arial" w:cs="Arial"/>
          <w:sz w:val="28"/>
          <w:szCs w:val="28"/>
        </w:rPr>
      </w:pPr>
    </w:p>
    <w:p w14:paraId="0B2C9315"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In pursuance of the directions given by the Hon'ble Supreme Court in its Order dated 13.02.2020 the Commission, after due consideration has directed that all political parties, that set up candidates with criminal antecedents, either pending cases or cases of past conviction shall scrupulously follow each of the directions given by Hon’ble Supreme Court in its judgment in all future elections to the Houses of Parliament and State Legislatures.</w:t>
      </w:r>
    </w:p>
    <w:p w14:paraId="48133EAE" w14:textId="77777777" w:rsidR="00EF1278" w:rsidRPr="00EF1278" w:rsidRDefault="00EF1278" w:rsidP="00EF1278">
      <w:pPr>
        <w:spacing w:line="360" w:lineRule="auto"/>
        <w:rPr>
          <w:rFonts w:ascii="Arial" w:hAnsi="Arial" w:cs="Arial"/>
          <w:sz w:val="28"/>
          <w:szCs w:val="28"/>
        </w:rPr>
      </w:pPr>
    </w:p>
    <w:p w14:paraId="25587FF1"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2. Optional Postal Ballot facility for Absentee voters:</w:t>
      </w:r>
    </w:p>
    <w:p w14:paraId="4F30F526" w14:textId="77777777" w:rsidR="00EF1278" w:rsidRPr="00EF1278" w:rsidRDefault="00EF1278" w:rsidP="00EF1278">
      <w:pPr>
        <w:spacing w:line="360" w:lineRule="auto"/>
        <w:rPr>
          <w:rFonts w:ascii="Arial" w:hAnsi="Arial" w:cs="Arial"/>
          <w:sz w:val="28"/>
          <w:szCs w:val="28"/>
        </w:rPr>
      </w:pPr>
    </w:p>
    <w:p w14:paraId="2439A047"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Rule 27A of the Conduct of Elections Rules, 1961 has been amended vide Notifications dated 22.10.2019 and 19.06.2020. By the said two amendments “Absentee voters” have an option entitled to vote by postal ballot. “Absentee Voter” has been defined in clause (aa) of Rule-27A of the Conduct of Elections Rules, 1961, and includes person who is employed in essential services, senior citizens, persons with disability and COVID 19 suspect or affected persons. The category of essential service is notified by the Election Commission under Section 60(C) of the RP Act, 1951 in consultation with the Central Government.</w:t>
      </w:r>
    </w:p>
    <w:p w14:paraId="51C685BB" w14:textId="77777777" w:rsidR="00EF1278" w:rsidRPr="00EF1278" w:rsidRDefault="00EF1278" w:rsidP="00EF1278">
      <w:pPr>
        <w:spacing w:line="360" w:lineRule="auto"/>
        <w:rPr>
          <w:rFonts w:ascii="Arial" w:hAnsi="Arial" w:cs="Arial"/>
          <w:sz w:val="28"/>
          <w:szCs w:val="28"/>
        </w:rPr>
      </w:pPr>
    </w:p>
    <w:p w14:paraId="48052AC7"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3. Optional facility of online data entry of personal details by candidates in Nomination Form and Affidavit:</w:t>
      </w:r>
    </w:p>
    <w:p w14:paraId="0946F7F4" w14:textId="77777777" w:rsidR="00EF1278" w:rsidRPr="00EF1278" w:rsidRDefault="00EF1278" w:rsidP="00EF1278">
      <w:pPr>
        <w:spacing w:line="360" w:lineRule="auto"/>
        <w:rPr>
          <w:rFonts w:ascii="Arial" w:hAnsi="Arial" w:cs="Arial"/>
          <w:sz w:val="28"/>
          <w:szCs w:val="28"/>
        </w:rPr>
      </w:pPr>
    </w:p>
    <w:p w14:paraId="02A2EF16" w14:textId="77777777" w:rsidR="00EF1278" w:rsidRPr="00EF1278" w:rsidRDefault="00EF1278" w:rsidP="00EF1278">
      <w:pPr>
        <w:spacing w:line="360" w:lineRule="auto"/>
        <w:rPr>
          <w:rFonts w:ascii="Arial" w:hAnsi="Arial" w:cs="Arial"/>
          <w:sz w:val="28"/>
          <w:szCs w:val="28"/>
        </w:rPr>
      </w:pPr>
      <w:proofErr w:type="gramStart"/>
      <w:r w:rsidRPr="00EF1278">
        <w:rPr>
          <w:rFonts w:ascii="Arial" w:hAnsi="Arial" w:cs="Arial"/>
          <w:sz w:val="28"/>
          <w:szCs w:val="28"/>
        </w:rPr>
        <w:t>In order to</w:t>
      </w:r>
      <w:proofErr w:type="gramEnd"/>
      <w:r w:rsidRPr="00EF1278">
        <w:rPr>
          <w:rFonts w:ascii="Arial" w:hAnsi="Arial" w:cs="Arial"/>
          <w:sz w:val="28"/>
          <w:szCs w:val="28"/>
        </w:rPr>
        <w:t xml:space="preserve"> move forward in the way of digital India and to minimize scope of mistakes in nomination form and the affidavit (Form-26), the Commission has provided an optional facility to the candidates for online data entry of personal details in nomination form. This facility is available for the candidates through the Election Commission's Suvidha portal (https://suvidha.eci.gov.in).</w:t>
      </w:r>
    </w:p>
    <w:p w14:paraId="3FBACF3F" w14:textId="77777777" w:rsidR="00EF1278" w:rsidRPr="00EF1278" w:rsidRDefault="00EF1278" w:rsidP="00EF1278">
      <w:pPr>
        <w:spacing w:line="360" w:lineRule="auto"/>
        <w:rPr>
          <w:rFonts w:ascii="Arial" w:hAnsi="Arial" w:cs="Arial"/>
          <w:sz w:val="28"/>
          <w:szCs w:val="28"/>
        </w:rPr>
      </w:pPr>
    </w:p>
    <w:p w14:paraId="7CAD7CD3"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4. Requirement of publishing details of candidates with criminal antecedents contesting election:</w:t>
      </w:r>
    </w:p>
    <w:p w14:paraId="269AB2CD" w14:textId="77777777" w:rsidR="00EF1278" w:rsidRPr="00EF1278" w:rsidRDefault="00EF1278" w:rsidP="00EF1278">
      <w:pPr>
        <w:spacing w:line="360" w:lineRule="auto"/>
        <w:rPr>
          <w:rFonts w:ascii="Arial" w:hAnsi="Arial" w:cs="Arial"/>
          <w:sz w:val="28"/>
          <w:szCs w:val="28"/>
        </w:rPr>
      </w:pPr>
    </w:p>
    <w:p w14:paraId="17CA1799"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lastRenderedPageBreak/>
        <w:t>In pursuance of the Hon’ble Supreme Court’s judgment in the matter, the Commission has issued instructions for publishing details of criminal antecedents of the contesting candidates by the political parties and the candidates themselves. Various Formats for publishing such details have also been devised by the Commission.</w:t>
      </w:r>
    </w:p>
    <w:p w14:paraId="3EF81A1B" w14:textId="77777777" w:rsidR="00EF1278" w:rsidRPr="00EF1278" w:rsidRDefault="00EF1278" w:rsidP="00EF1278">
      <w:pPr>
        <w:spacing w:line="360" w:lineRule="auto"/>
        <w:rPr>
          <w:rFonts w:ascii="Arial" w:hAnsi="Arial" w:cs="Arial"/>
          <w:sz w:val="28"/>
          <w:szCs w:val="28"/>
        </w:rPr>
      </w:pPr>
    </w:p>
    <w:p w14:paraId="4F0E4943"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5. Eco-friendly elections:</w:t>
      </w:r>
    </w:p>
    <w:p w14:paraId="721D65CE" w14:textId="77777777" w:rsidR="00EF1278" w:rsidRPr="00EF1278" w:rsidRDefault="00EF1278" w:rsidP="00EF1278">
      <w:pPr>
        <w:spacing w:line="360" w:lineRule="auto"/>
        <w:rPr>
          <w:rFonts w:ascii="Arial" w:hAnsi="Arial" w:cs="Arial"/>
          <w:sz w:val="28"/>
          <w:szCs w:val="28"/>
        </w:rPr>
      </w:pPr>
    </w:p>
    <w:p w14:paraId="6CD78133"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Commission has been asking all the political parties and instructed to take adequate steps and measures to not use single-use plastic as campaign materials (posters, banners etc.,) during the elections in the interest of human health and environment.</w:t>
      </w:r>
    </w:p>
    <w:p w14:paraId="22847AFD" w14:textId="77777777" w:rsidR="00EF1278" w:rsidRPr="00EF1278" w:rsidRDefault="00EF1278" w:rsidP="00EF1278">
      <w:pPr>
        <w:spacing w:line="360" w:lineRule="auto"/>
        <w:rPr>
          <w:rFonts w:ascii="Arial" w:hAnsi="Arial" w:cs="Arial"/>
          <w:sz w:val="28"/>
          <w:szCs w:val="28"/>
        </w:rPr>
      </w:pPr>
    </w:p>
    <w:p w14:paraId="4F6F0052"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6. Four qualifying dates for enrolment in the Electoral </w:t>
      </w:r>
      <w:proofErr w:type="gramStart"/>
      <w:r w:rsidRPr="00EF1278">
        <w:rPr>
          <w:rFonts w:ascii="Arial" w:hAnsi="Arial" w:cs="Arial"/>
          <w:sz w:val="28"/>
          <w:szCs w:val="28"/>
        </w:rPr>
        <w:t>Roll:-</w:t>
      </w:r>
      <w:proofErr w:type="gramEnd"/>
    </w:p>
    <w:p w14:paraId="706C1D68" w14:textId="77777777" w:rsidR="00EF1278" w:rsidRPr="00EF1278" w:rsidRDefault="00EF1278" w:rsidP="00EF1278">
      <w:pPr>
        <w:spacing w:line="360" w:lineRule="auto"/>
        <w:rPr>
          <w:rFonts w:ascii="Arial" w:hAnsi="Arial" w:cs="Arial"/>
          <w:sz w:val="28"/>
          <w:szCs w:val="28"/>
        </w:rPr>
      </w:pPr>
    </w:p>
    <w:p w14:paraId="7EB113E4"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The Law has been amended to provide four qualifying dates for enrolment in the electoral roll. Now any citizen turning 18 years on 1st </w:t>
      </w:r>
      <w:proofErr w:type="gramStart"/>
      <w:r w:rsidRPr="00EF1278">
        <w:rPr>
          <w:rFonts w:ascii="Arial" w:hAnsi="Arial" w:cs="Arial"/>
          <w:sz w:val="28"/>
          <w:szCs w:val="28"/>
        </w:rPr>
        <w:t>January,</w:t>
      </w:r>
      <w:proofErr w:type="gramEnd"/>
      <w:r w:rsidRPr="00EF1278">
        <w:rPr>
          <w:rFonts w:ascii="Arial" w:hAnsi="Arial" w:cs="Arial"/>
          <w:sz w:val="28"/>
          <w:szCs w:val="28"/>
        </w:rPr>
        <w:t xml:space="preserve"> 1st </w:t>
      </w:r>
      <w:proofErr w:type="gramStart"/>
      <w:r w:rsidRPr="00EF1278">
        <w:rPr>
          <w:rFonts w:ascii="Arial" w:hAnsi="Arial" w:cs="Arial"/>
          <w:sz w:val="28"/>
          <w:szCs w:val="28"/>
        </w:rPr>
        <w:t>April,</w:t>
      </w:r>
      <w:proofErr w:type="gramEnd"/>
      <w:r w:rsidRPr="00EF1278">
        <w:rPr>
          <w:rFonts w:ascii="Arial" w:hAnsi="Arial" w:cs="Arial"/>
          <w:sz w:val="28"/>
          <w:szCs w:val="28"/>
        </w:rPr>
        <w:t xml:space="preserve"> 1st July or 1st October can file his claim for enrolment in any quarter of the year.</w:t>
      </w:r>
    </w:p>
    <w:p w14:paraId="6A550E6E" w14:textId="77777777" w:rsidR="00EF1278" w:rsidRPr="00EF1278" w:rsidRDefault="00EF1278" w:rsidP="00EF1278">
      <w:pPr>
        <w:spacing w:line="360" w:lineRule="auto"/>
        <w:rPr>
          <w:rFonts w:ascii="Arial" w:hAnsi="Arial" w:cs="Arial"/>
          <w:sz w:val="28"/>
          <w:szCs w:val="28"/>
        </w:rPr>
      </w:pPr>
    </w:p>
    <w:p w14:paraId="5C1794DC"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7. Free time on DD &amp; AIR to political parties to propagate the policies.</w:t>
      </w:r>
    </w:p>
    <w:p w14:paraId="0FB6A247" w14:textId="77777777" w:rsidR="00EF1278" w:rsidRPr="00EF1278" w:rsidRDefault="00EF1278" w:rsidP="00EF1278">
      <w:pPr>
        <w:spacing w:line="360" w:lineRule="auto"/>
        <w:rPr>
          <w:rFonts w:ascii="Arial" w:hAnsi="Arial" w:cs="Arial"/>
          <w:sz w:val="28"/>
          <w:szCs w:val="28"/>
        </w:rPr>
      </w:pPr>
    </w:p>
    <w:p w14:paraId="1C356F47" w14:textId="6C7C35E9" w:rsidR="00EF1278" w:rsidRDefault="00EF1278" w:rsidP="00EF1278">
      <w:pPr>
        <w:spacing w:line="360" w:lineRule="auto"/>
        <w:rPr>
          <w:rFonts w:ascii="Arial" w:hAnsi="Arial" w:cs="Arial"/>
          <w:sz w:val="28"/>
          <w:szCs w:val="28"/>
        </w:rPr>
      </w:pPr>
      <w:r w:rsidRPr="00EF1278">
        <w:rPr>
          <w:rFonts w:ascii="Arial" w:hAnsi="Arial" w:cs="Arial"/>
          <w:sz w:val="28"/>
          <w:szCs w:val="28"/>
        </w:rPr>
        <w:lastRenderedPageBreak/>
        <w:t xml:space="preserve">Commission notified a Scheme for use of Govt. owned </w:t>
      </w:r>
      <w:proofErr w:type="gramStart"/>
      <w:r w:rsidRPr="00EF1278">
        <w:rPr>
          <w:rFonts w:ascii="Arial" w:hAnsi="Arial" w:cs="Arial"/>
          <w:sz w:val="28"/>
          <w:szCs w:val="28"/>
        </w:rPr>
        <w:t>Electronic</w:t>
      </w:r>
      <w:proofErr w:type="gramEnd"/>
      <w:r w:rsidRPr="00EF1278">
        <w:rPr>
          <w:rFonts w:ascii="Arial" w:hAnsi="Arial" w:cs="Arial"/>
          <w:sz w:val="28"/>
          <w:szCs w:val="28"/>
        </w:rPr>
        <w:t xml:space="preserve"> media by Political parties, on 16th January 1998 which also holds a statutory basis under Section 39A of the R.P. Act, 1951 which provides free time on DD &amp; AIR. Recently, the Commission has amended the existing scheme by introducing a provision to issue digital time vouchers through an Information Technology (IT) platform. With this facilitation, the political parties will not be required to send their representatives to EC/CEO Offices for collection of the time vouchers physically during elections.</w:t>
      </w:r>
    </w:p>
    <w:p w14:paraId="043FD246" w14:textId="66E21B1F" w:rsidR="00EF1278" w:rsidRDefault="00EF1278" w:rsidP="00EF1278">
      <w:pPr>
        <w:spacing w:line="360" w:lineRule="auto"/>
        <w:rPr>
          <w:rFonts w:ascii="Arial" w:hAnsi="Arial" w:cs="Arial"/>
          <w:sz w:val="28"/>
          <w:szCs w:val="28"/>
        </w:rPr>
      </w:pPr>
      <w:proofErr w:type="spellStart"/>
      <w:r>
        <w:rPr>
          <w:rFonts w:ascii="Arial" w:hAnsi="Arial" w:cs="Arial"/>
          <w:sz w:val="28"/>
          <w:szCs w:val="28"/>
        </w:rPr>
        <w:t>Xxxxxxxxxxxxxxxxxxxxxxxxxxxxxxxxxxxxxxxxxxxxxxxxx</w:t>
      </w:r>
      <w:proofErr w:type="spellEnd"/>
    </w:p>
    <w:p w14:paraId="52744E9A"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Constitutional Bench Explainer Series: Anoop Baranwal v. Union of India</w:t>
      </w:r>
    </w:p>
    <w:p w14:paraId="52F85BD6"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8 comments</w:t>
      </w:r>
    </w:p>
    <w:p w14:paraId="1CE7FE2E"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5 June 2023</w:t>
      </w:r>
    </w:p>
    <w:p w14:paraId="0B0EF199"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14 min read</w:t>
      </w:r>
    </w:p>
    <w:p w14:paraId="5757279D"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by Manav </w:t>
      </w:r>
      <w:proofErr w:type="spellStart"/>
      <w:r w:rsidRPr="00EF1278">
        <w:rPr>
          <w:rFonts w:ascii="Arial" w:hAnsi="Arial" w:cs="Arial"/>
          <w:sz w:val="28"/>
          <w:szCs w:val="28"/>
        </w:rPr>
        <w:t>Pamnani</w:t>
      </w:r>
      <w:proofErr w:type="spellEnd"/>
    </w:p>
    <w:p w14:paraId="4597923E"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Written by</w:t>
      </w:r>
    </w:p>
    <w:p w14:paraId="62D2370D"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Manav Pamnani</w:t>
      </w:r>
    </w:p>
    <w:p w14:paraId="3596E875"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Summary:</w:t>
      </w:r>
    </w:p>
    <w:p w14:paraId="79609835"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The Supreme Court held that the current system of appointment of the members of the Election Commission of India (“ECI”) gives power to the executive thereby taking away the independence of the ECI and is therefore unconstitutional.</w:t>
      </w:r>
    </w:p>
    <w:p w14:paraId="09BC22F1" w14:textId="77777777" w:rsidR="00EF1278" w:rsidRPr="00EF1278" w:rsidRDefault="00EF1278" w:rsidP="00EF1278">
      <w:pPr>
        <w:spacing w:line="360" w:lineRule="auto"/>
        <w:rPr>
          <w:rFonts w:ascii="Arial" w:hAnsi="Arial" w:cs="Arial"/>
          <w:sz w:val="28"/>
          <w:szCs w:val="28"/>
        </w:rPr>
      </w:pPr>
    </w:p>
    <w:p w14:paraId="11952A6E"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lastRenderedPageBreak/>
        <w:t>The case Anoop Baranwal v. Union of India deals with the system of appointment of the members of the Election Commission of India (“ECI”). A writ petition (WP (C) 104/2015) was filed by Anoop Baranwal which alleged that the current system of appointment violates Article 324(2) and instead advocated for a collegium-like system for the appointment of the ECI members. Article 324(2) of the Indian Constitution deals with the composition of the Election Commission and the method of appointment of its members.</w:t>
      </w:r>
    </w:p>
    <w:p w14:paraId="22897E40" w14:textId="77777777" w:rsidR="00EF1278" w:rsidRPr="00EF1278" w:rsidRDefault="00EF1278" w:rsidP="00EF1278">
      <w:pPr>
        <w:spacing w:line="360" w:lineRule="auto"/>
        <w:rPr>
          <w:rFonts w:ascii="Arial" w:hAnsi="Arial" w:cs="Arial"/>
          <w:sz w:val="28"/>
          <w:szCs w:val="28"/>
        </w:rPr>
      </w:pPr>
    </w:p>
    <w:p w14:paraId="0FBD313F"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The President is the head of the executive in India and is entrusted with the task of appointment of ECI members under Article 324, subject to parliamentary law being introduced, which hasn’t yet been done. Therefore, Anoop Baranwal filed this petition before the Supreme Court. The key issues framed by the five-judge bench (K.M. Joseph J, Ajay Rastogi J, Aniruddha Bose J, Hrishikesh Roy J, C.T. Ravikumar J) were, whether the current procedure for appointment of the members of the ECI violates the Constitution of India, and whether issuing a direction for the appointment process of the members of the ECI would violate the separation of powers principle.</w:t>
      </w:r>
    </w:p>
    <w:p w14:paraId="6817091D" w14:textId="77777777" w:rsidR="00EF1278" w:rsidRPr="00EF1278" w:rsidRDefault="00EF1278" w:rsidP="00EF1278">
      <w:pPr>
        <w:spacing w:line="360" w:lineRule="auto"/>
        <w:rPr>
          <w:rFonts w:ascii="Arial" w:hAnsi="Arial" w:cs="Arial"/>
          <w:sz w:val="28"/>
          <w:szCs w:val="28"/>
        </w:rPr>
      </w:pPr>
    </w:p>
    <w:p w14:paraId="56C58576"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In the judgment delivered on March 2, 2023, the Supreme Court unanimously held that the selection of all the Election Commissioners including the Chief Election Commissioner would be done by a three-member committee comprising the Chief Justice of India, the Prime Minister and the Leader of the Opposition. This Explainer seeks to break </w:t>
      </w:r>
      <w:r w:rsidRPr="00EF1278">
        <w:rPr>
          <w:rFonts w:ascii="Arial" w:hAnsi="Arial" w:cs="Arial"/>
          <w:sz w:val="28"/>
          <w:szCs w:val="28"/>
        </w:rPr>
        <w:lastRenderedPageBreak/>
        <w:t xml:space="preserve">down the arguments presented as well as the findings and rationale of the Court. </w:t>
      </w:r>
    </w:p>
    <w:p w14:paraId="729DD73B" w14:textId="77777777" w:rsidR="00EF1278" w:rsidRPr="00EF1278" w:rsidRDefault="00EF1278" w:rsidP="00EF1278">
      <w:pPr>
        <w:spacing w:line="360" w:lineRule="auto"/>
        <w:rPr>
          <w:rFonts w:ascii="Arial" w:hAnsi="Arial" w:cs="Arial"/>
          <w:sz w:val="28"/>
          <w:szCs w:val="28"/>
        </w:rPr>
      </w:pPr>
    </w:p>
    <w:p w14:paraId="2C56EAB2"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Contentions of the Parties</w:t>
      </w:r>
    </w:p>
    <w:p w14:paraId="1D7676AC" w14:textId="77777777" w:rsidR="00EF1278" w:rsidRPr="00EF1278" w:rsidRDefault="00EF1278" w:rsidP="00EF1278">
      <w:pPr>
        <w:spacing w:line="360" w:lineRule="auto"/>
        <w:rPr>
          <w:rFonts w:ascii="Arial" w:hAnsi="Arial" w:cs="Arial"/>
          <w:sz w:val="28"/>
          <w:szCs w:val="28"/>
        </w:rPr>
      </w:pPr>
    </w:p>
    <w:p w14:paraId="64B36D50"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The Petitioners put forth three main arguments. Firstly, the independence of the ECI is an essential prerequisite for free and fair elections. This is in </w:t>
      </w:r>
      <w:proofErr w:type="gramStart"/>
      <w:r w:rsidRPr="00EF1278">
        <w:rPr>
          <w:rFonts w:ascii="Arial" w:hAnsi="Arial" w:cs="Arial"/>
          <w:sz w:val="28"/>
          <w:szCs w:val="28"/>
        </w:rPr>
        <w:t>turn is</w:t>
      </w:r>
      <w:proofErr w:type="gramEnd"/>
      <w:r w:rsidRPr="00EF1278">
        <w:rPr>
          <w:rFonts w:ascii="Arial" w:hAnsi="Arial" w:cs="Arial"/>
          <w:sz w:val="28"/>
          <w:szCs w:val="28"/>
        </w:rPr>
        <w:t xml:space="preserve"> necessary to keep up the spirit of democracy which is part and parcel of the Basic Structure as recognized in the seminal case of </w:t>
      </w:r>
      <w:proofErr w:type="spellStart"/>
      <w:r w:rsidRPr="00EF1278">
        <w:rPr>
          <w:rFonts w:ascii="Arial" w:hAnsi="Arial" w:cs="Arial"/>
          <w:sz w:val="28"/>
          <w:szCs w:val="28"/>
        </w:rPr>
        <w:t>Kesavananda</w:t>
      </w:r>
      <w:proofErr w:type="spellEnd"/>
      <w:r w:rsidRPr="00EF1278">
        <w:rPr>
          <w:rFonts w:ascii="Arial" w:hAnsi="Arial" w:cs="Arial"/>
          <w:sz w:val="28"/>
          <w:szCs w:val="28"/>
        </w:rPr>
        <w:t xml:space="preserve"> Bharati v. State of Kerela. Secondly, since the ECI performs a quasi-judicial function of conducting elections and resolving disputes, the appointment of the members of the ECI solely by the executive may involve the biases of the ruling party. Lastly, they argued a violation of Article 14 since the appointment of the members of the Election Commission is based solely on the advice of the executive which leads to arbitrariness.</w:t>
      </w:r>
    </w:p>
    <w:p w14:paraId="5275852E" w14:textId="77777777" w:rsidR="00EF1278" w:rsidRPr="00EF1278" w:rsidRDefault="00EF1278" w:rsidP="00EF1278">
      <w:pPr>
        <w:spacing w:line="360" w:lineRule="auto"/>
        <w:rPr>
          <w:rFonts w:ascii="Arial" w:hAnsi="Arial" w:cs="Arial"/>
          <w:sz w:val="28"/>
          <w:szCs w:val="28"/>
        </w:rPr>
      </w:pPr>
    </w:p>
    <w:p w14:paraId="01831DDE"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The Court’s attention was also drawn to several reports, released by government-appointed commissions that have recommended the introduction of a collegium system for the appointment of ECI members, consisting of the Prime Minister, the Chief Justice of India and the Leader of Opposition in the Lok Sabha. These reports primarily include the 255th report of the Law Commission of India (</w:t>
      </w:r>
      <w:proofErr w:type="gramStart"/>
      <w:r w:rsidRPr="00EF1278">
        <w:rPr>
          <w:rFonts w:ascii="Arial" w:hAnsi="Arial" w:cs="Arial"/>
          <w:sz w:val="28"/>
          <w:szCs w:val="28"/>
        </w:rPr>
        <w:t>March,</w:t>
      </w:r>
      <w:proofErr w:type="gramEnd"/>
      <w:r w:rsidRPr="00EF1278">
        <w:rPr>
          <w:rFonts w:ascii="Arial" w:hAnsi="Arial" w:cs="Arial"/>
          <w:sz w:val="28"/>
          <w:szCs w:val="28"/>
        </w:rPr>
        <w:t xml:space="preserve"> 2015), the 4th report of the Second Administrative Reform Commission (</w:t>
      </w:r>
      <w:proofErr w:type="gramStart"/>
      <w:r w:rsidRPr="00EF1278">
        <w:rPr>
          <w:rFonts w:ascii="Arial" w:hAnsi="Arial" w:cs="Arial"/>
          <w:sz w:val="28"/>
          <w:szCs w:val="28"/>
        </w:rPr>
        <w:t>January,</w:t>
      </w:r>
      <w:proofErr w:type="gramEnd"/>
      <w:r w:rsidRPr="00EF1278">
        <w:rPr>
          <w:rFonts w:ascii="Arial" w:hAnsi="Arial" w:cs="Arial"/>
          <w:sz w:val="28"/>
          <w:szCs w:val="28"/>
        </w:rPr>
        <w:t xml:space="preserve"> 2007) and the report of the Committee of Electoral Reforms (</w:t>
      </w:r>
      <w:proofErr w:type="gramStart"/>
      <w:r w:rsidRPr="00EF1278">
        <w:rPr>
          <w:rFonts w:ascii="Arial" w:hAnsi="Arial" w:cs="Arial"/>
          <w:sz w:val="28"/>
          <w:szCs w:val="28"/>
        </w:rPr>
        <w:t>May,</w:t>
      </w:r>
      <w:proofErr w:type="gramEnd"/>
      <w:r w:rsidRPr="00EF1278">
        <w:rPr>
          <w:rFonts w:ascii="Arial" w:hAnsi="Arial" w:cs="Arial"/>
          <w:sz w:val="28"/>
          <w:szCs w:val="28"/>
        </w:rPr>
        <w:t xml:space="preserve"> 1990), among others. These </w:t>
      </w:r>
      <w:r w:rsidRPr="00EF1278">
        <w:rPr>
          <w:rFonts w:ascii="Arial" w:hAnsi="Arial" w:cs="Arial"/>
          <w:sz w:val="28"/>
          <w:szCs w:val="28"/>
        </w:rPr>
        <w:lastRenderedPageBreak/>
        <w:t xml:space="preserve">reports had been ignored and </w:t>
      </w:r>
      <w:proofErr w:type="spellStart"/>
      <w:r w:rsidRPr="00EF1278">
        <w:rPr>
          <w:rFonts w:ascii="Arial" w:hAnsi="Arial" w:cs="Arial"/>
          <w:sz w:val="28"/>
          <w:szCs w:val="28"/>
        </w:rPr>
        <w:t>recognising</w:t>
      </w:r>
      <w:proofErr w:type="spellEnd"/>
      <w:r w:rsidRPr="00EF1278">
        <w:rPr>
          <w:rFonts w:ascii="Arial" w:hAnsi="Arial" w:cs="Arial"/>
          <w:sz w:val="28"/>
          <w:szCs w:val="28"/>
        </w:rPr>
        <w:t xml:space="preserve"> their importance, the Petitioner contended for these to be taken into consideration.</w:t>
      </w:r>
    </w:p>
    <w:p w14:paraId="1E1D6D32" w14:textId="77777777" w:rsidR="00EF1278" w:rsidRPr="00EF1278" w:rsidRDefault="00EF1278" w:rsidP="00EF1278">
      <w:pPr>
        <w:spacing w:line="360" w:lineRule="auto"/>
        <w:rPr>
          <w:rFonts w:ascii="Arial" w:hAnsi="Arial" w:cs="Arial"/>
          <w:sz w:val="28"/>
          <w:szCs w:val="28"/>
        </w:rPr>
      </w:pPr>
    </w:p>
    <w:p w14:paraId="69F2DCB2"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The collegium system is a system of </w:t>
      </w:r>
      <w:proofErr w:type="gramStart"/>
      <w:r w:rsidRPr="00EF1278">
        <w:rPr>
          <w:rFonts w:ascii="Arial" w:hAnsi="Arial" w:cs="Arial"/>
          <w:sz w:val="28"/>
          <w:szCs w:val="28"/>
        </w:rPr>
        <w:t>appointment</w:t>
      </w:r>
      <w:proofErr w:type="gramEnd"/>
      <w:r w:rsidRPr="00EF1278">
        <w:rPr>
          <w:rFonts w:ascii="Arial" w:hAnsi="Arial" w:cs="Arial"/>
          <w:sz w:val="28"/>
          <w:szCs w:val="28"/>
        </w:rPr>
        <w:t xml:space="preserve"> wherein the power to appoint members is not entrusted entirely with the executive. It blurs the separation of powers principle and thus, is not officially a part of the Indian Constitution. The Petitioner’s advocacy for the introduction of this system is justified because it furthers the independence of the ECI which is the fundamental argument put forth. To substantiate the arguments, the petitioner cited several cases which </w:t>
      </w:r>
      <w:proofErr w:type="gramStart"/>
      <w:r w:rsidRPr="00EF1278">
        <w:rPr>
          <w:rFonts w:ascii="Arial" w:hAnsi="Arial" w:cs="Arial"/>
          <w:sz w:val="28"/>
          <w:szCs w:val="28"/>
        </w:rPr>
        <w:t>include  Advocates</w:t>
      </w:r>
      <w:proofErr w:type="gramEnd"/>
      <w:r w:rsidRPr="00EF1278">
        <w:rPr>
          <w:rFonts w:ascii="Arial" w:hAnsi="Arial" w:cs="Arial"/>
          <w:sz w:val="28"/>
          <w:szCs w:val="28"/>
        </w:rPr>
        <w:t>-on-Record Association and Another vs. Union of India, Indian National Congress v. Institute of Social Welfare and Others, Prakash Singh and Others vs. Union of India and Others and Vineet Narain and Others vs. Union of India and Another.</w:t>
      </w:r>
    </w:p>
    <w:p w14:paraId="25099396" w14:textId="77777777" w:rsidR="00EF1278" w:rsidRPr="00EF1278" w:rsidRDefault="00EF1278" w:rsidP="00EF1278">
      <w:pPr>
        <w:spacing w:line="360" w:lineRule="auto"/>
        <w:rPr>
          <w:rFonts w:ascii="Arial" w:hAnsi="Arial" w:cs="Arial"/>
          <w:sz w:val="28"/>
          <w:szCs w:val="28"/>
        </w:rPr>
      </w:pPr>
    </w:p>
    <w:p w14:paraId="7B6FA779"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The Respondents put forth four main contentions. Firstly, The Union of India pleaded for a strict separation of powers in response to the petitioner’s arguments and contended that the matter relating to the procedure of appointment is a topic of discussion which falls under the purview of parliamentary debates and not the court of law. The Separation of Powers Doctrine, as enshrined under Article 50 of the Indian Constitution deals with the division of executive and judicial functions in the public services of the State. To strengthen this argument, the respondent cited the case of Shamsher Singh v. State of Punjab and Another wherein this doctrine has been explained at length.</w:t>
      </w:r>
    </w:p>
    <w:p w14:paraId="0578BFD3" w14:textId="77777777" w:rsidR="00EF1278" w:rsidRPr="00EF1278" w:rsidRDefault="00EF1278" w:rsidP="00EF1278">
      <w:pPr>
        <w:spacing w:line="360" w:lineRule="auto"/>
        <w:rPr>
          <w:rFonts w:ascii="Arial" w:hAnsi="Arial" w:cs="Arial"/>
          <w:sz w:val="28"/>
          <w:szCs w:val="28"/>
        </w:rPr>
      </w:pPr>
    </w:p>
    <w:p w14:paraId="0463C6AA"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Secondly, the mere presence of the power of </w:t>
      </w:r>
      <w:proofErr w:type="gramStart"/>
      <w:r w:rsidRPr="00EF1278">
        <w:rPr>
          <w:rFonts w:ascii="Arial" w:hAnsi="Arial" w:cs="Arial"/>
          <w:sz w:val="28"/>
          <w:szCs w:val="28"/>
        </w:rPr>
        <w:t>the Parliament</w:t>
      </w:r>
      <w:proofErr w:type="gramEnd"/>
      <w:r w:rsidRPr="00EF1278">
        <w:rPr>
          <w:rFonts w:ascii="Arial" w:hAnsi="Arial" w:cs="Arial"/>
          <w:sz w:val="28"/>
          <w:szCs w:val="28"/>
        </w:rPr>
        <w:t xml:space="preserve"> to pass a law relating to the appointment of the members of the ECI does not impose a strict obligation to do so. Thirdly, the Court should only adjudicate on the issue provided it is proved by the petitioners that there has been a complete deviance from the independence of the ECI. However, the Court ultimately did not buy this argument because the Petitioner’s main contention was to retain the independence of the </w:t>
      </w:r>
      <w:proofErr w:type="gramStart"/>
      <w:r w:rsidRPr="00EF1278">
        <w:rPr>
          <w:rFonts w:ascii="Arial" w:hAnsi="Arial" w:cs="Arial"/>
          <w:sz w:val="28"/>
          <w:szCs w:val="28"/>
        </w:rPr>
        <w:t>ECI</w:t>
      </w:r>
      <w:proofErr w:type="gramEnd"/>
      <w:r w:rsidRPr="00EF1278">
        <w:rPr>
          <w:rFonts w:ascii="Arial" w:hAnsi="Arial" w:cs="Arial"/>
          <w:sz w:val="28"/>
          <w:szCs w:val="28"/>
        </w:rPr>
        <w:t xml:space="preserve"> and the requirement of “complete deviance” was not necessary to be fulfilled. Lastly, a person is generally appointed as the Chief Election Commissioner only if they have previously served as an Election Commissioner. Although this isn’t expressly stated in the Constitution of India, this methodology is generally followed because it gives the government a chance to test the reliability and sincerity of the person appointed. The Constituent Assembly Debates discuss how the intention was to only </w:t>
      </w:r>
      <w:proofErr w:type="gramStart"/>
      <w:r w:rsidRPr="00EF1278">
        <w:rPr>
          <w:rFonts w:ascii="Arial" w:hAnsi="Arial" w:cs="Arial"/>
          <w:sz w:val="28"/>
          <w:szCs w:val="28"/>
        </w:rPr>
        <w:t>appoint  “</w:t>
      </w:r>
      <w:proofErr w:type="gramEnd"/>
      <w:r w:rsidRPr="00EF1278">
        <w:rPr>
          <w:rFonts w:ascii="Arial" w:hAnsi="Arial" w:cs="Arial"/>
          <w:sz w:val="28"/>
          <w:szCs w:val="28"/>
        </w:rPr>
        <w:t xml:space="preserve">proper persons”. The Central Government thus looked at the intention of the Constitution </w:t>
      </w:r>
      <w:proofErr w:type="gramStart"/>
      <w:r w:rsidRPr="00EF1278">
        <w:rPr>
          <w:rFonts w:ascii="Arial" w:hAnsi="Arial" w:cs="Arial"/>
          <w:sz w:val="28"/>
          <w:szCs w:val="28"/>
        </w:rPr>
        <w:t>framers</w:t>
      </w:r>
      <w:proofErr w:type="gramEnd"/>
      <w:r w:rsidRPr="00EF1278">
        <w:rPr>
          <w:rFonts w:ascii="Arial" w:hAnsi="Arial" w:cs="Arial"/>
          <w:sz w:val="28"/>
          <w:szCs w:val="28"/>
        </w:rPr>
        <w:t>’ before making this argument. To strengthen the contentions, the respondent also cited the case of T.N. Seshan, Chief Election Commissioner of India v. Union of India.</w:t>
      </w:r>
    </w:p>
    <w:p w14:paraId="02C92667" w14:textId="77777777" w:rsidR="00EF1278" w:rsidRPr="00EF1278" w:rsidRDefault="00EF1278" w:rsidP="00EF1278">
      <w:pPr>
        <w:spacing w:line="360" w:lineRule="auto"/>
        <w:rPr>
          <w:rFonts w:ascii="Arial" w:hAnsi="Arial" w:cs="Arial"/>
          <w:sz w:val="28"/>
          <w:szCs w:val="28"/>
        </w:rPr>
      </w:pPr>
    </w:p>
    <w:p w14:paraId="79D2EB32"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Judgment and the consideration and reasoning of the judges</w:t>
      </w:r>
    </w:p>
    <w:p w14:paraId="2B95DCB2" w14:textId="77777777" w:rsidR="00EF1278" w:rsidRPr="00EF1278" w:rsidRDefault="00EF1278" w:rsidP="00EF1278">
      <w:pPr>
        <w:spacing w:line="360" w:lineRule="auto"/>
        <w:rPr>
          <w:rFonts w:ascii="Arial" w:hAnsi="Arial" w:cs="Arial"/>
          <w:sz w:val="28"/>
          <w:szCs w:val="28"/>
        </w:rPr>
      </w:pPr>
    </w:p>
    <w:p w14:paraId="2F406910"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The Court considered the arguments made by the parties, the circumstances surrounding this issue and the essential requirements of the law on the appointment of the Election Commissioners before arriving at a </w:t>
      </w:r>
      <w:r w:rsidRPr="00EF1278">
        <w:rPr>
          <w:rFonts w:ascii="Arial" w:hAnsi="Arial" w:cs="Arial"/>
          <w:sz w:val="28"/>
          <w:szCs w:val="28"/>
        </w:rPr>
        <w:lastRenderedPageBreak/>
        <w:t>decision. There are five major points which have been discussed by the judges in the judgment.</w:t>
      </w:r>
    </w:p>
    <w:p w14:paraId="550B60D4" w14:textId="77777777" w:rsidR="00EF1278" w:rsidRPr="00EF1278" w:rsidRDefault="00EF1278" w:rsidP="00EF1278">
      <w:pPr>
        <w:spacing w:line="360" w:lineRule="auto"/>
        <w:rPr>
          <w:rFonts w:ascii="Arial" w:hAnsi="Arial" w:cs="Arial"/>
          <w:sz w:val="28"/>
          <w:szCs w:val="28"/>
        </w:rPr>
      </w:pPr>
    </w:p>
    <w:p w14:paraId="308E92F0"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On the first issue of the Union Government not introducing a law to regulate the appointment of the ECI members, the Court upheld this contention and questioned the government, trying to extract the reason behind this omission. The response to this question was unsatisfactory because the Government replied by saying that just because the Constitution gives them the power to make laws, it doesn’t mean that </w:t>
      </w:r>
      <w:proofErr w:type="gramStart"/>
      <w:r w:rsidRPr="00EF1278">
        <w:rPr>
          <w:rFonts w:ascii="Arial" w:hAnsi="Arial" w:cs="Arial"/>
          <w:sz w:val="28"/>
          <w:szCs w:val="28"/>
        </w:rPr>
        <w:t>the Parliament</w:t>
      </w:r>
      <w:proofErr w:type="gramEnd"/>
      <w:r w:rsidRPr="00EF1278">
        <w:rPr>
          <w:rFonts w:ascii="Arial" w:hAnsi="Arial" w:cs="Arial"/>
          <w:sz w:val="28"/>
          <w:szCs w:val="28"/>
        </w:rPr>
        <w:t xml:space="preserve"> can be forced to do so. They further added that some areas require gradual progress.</w:t>
      </w:r>
    </w:p>
    <w:p w14:paraId="68A7C692" w14:textId="77777777" w:rsidR="00EF1278" w:rsidRPr="00EF1278" w:rsidRDefault="00EF1278" w:rsidP="00EF1278">
      <w:pPr>
        <w:spacing w:line="360" w:lineRule="auto"/>
        <w:rPr>
          <w:rFonts w:ascii="Arial" w:hAnsi="Arial" w:cs="Arial"/>
          <w:sz w:val="28"/>
          <w:szCs w:val="28"/>
        </w:rPr>
      </w:pPr>
    </w:p>
    <w:p w14:paraId="0779B086"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In terms of the security of tenure and conditions of appointment of the ECI members, the Court noted that the independence of ECI members is </w:t>
      </w:r>
      <w:proofErr w:type="gramStart"/>
      <w:r w:rsidRPr="00EF1278">
        <w:rPr>
          <w:rFonts w:ascii="Arial" w:hAnsi="Arial" w:cs="Arial"/>
          <w:sz w:val="28"/>
          <w:szCs w:val="28"/>
        </w:rPr>
        <w:t>completely destroyed</w:t>
      </w:r>
      <w:proofErr w:type="gramEnd"/>
      <w:r w:rsidRPr="00EF1278">
        <w:rPr>
          <w:rFonts w:ascii="Arial" w:hAnsi="Arial" w:cs="Arial"/>
          <w:sz w:val="28"/>
          <w:szCs w:val="28"/>
        </w:rPr>
        <w:t xml:space="preserve"> because the exception has been made the norm by terminating the services of the members before their actual term of six years is completed because they cross sixty-five years of age. The Court said that the Union Government has constantly been choosing members who are close to attaining the age of sixty-five, right since 2004, thus, interfering with the independence of the ECI. When the respondent put forth the point regarding the appointment of a Chief Election Commissioner solely based on </w:t>
      </w:r>
      <w:proofErr w:type="gramStart"/>
      <w:r w:rsidRPr="00EF1278">
        <w:rPr>
          <w:rFonts w:ascii="Arial" w:hAnsi="Arial" w:cs="Arial"/>
          <w:sz w:val="28"/>
          <w:szCs w:val="28"/>
        </w:rPr>
        <w:t>past experience</w:t>
      </w:r>
      <w:proofErr w:type="gramEnd"/>
      <w:r w:rsidRPr="00EF1278">
        <w:rPr>
          <w:rFonts w:ascii="Arial" w:hAnsi="Arial" w:cs="Arial"/>
          <w:sz w:val="28"/>
          <w:szCs w:val="28"/>
        </w:rPr>
        <w:t xml:space="preserve">, the Court questioned the basis for this contention, taking into consideration the fact that neither the Election Commission Act, 1991 nor the Constitution imposes such a limitation. Article 324(5) says that the Chief Election Commissioner can only be </w:t>
      </w:r>
      <w:r w:rsidRPr="00EF1278">
        <w:rPr>
          <w:rFonts w:ascii="Arial" w:hAnsi="Arial" w:cs="Arial"/>
          <w:sz w:val="28"/>
          <w:szCs w:val="28"/>
        </w:rPr>
        <w:lastRenderedPageBreak/>
        <w:t>removed from office in the same manner as a Supreme Court judge. The additional suggestion given by Justice Rastogi in his concurring opinion was to extend this provision to other Election Commissioners as well to ensure the complete independence of the ECI.</w:t>
      </w:r>
    </w:p>
    <w:p w14:paraId="6275C438" w14:textId="77777777" w:rsidR="00EF1278" w:rsidRPr="00EF1278" w:rsidRDefault="00EF1278" w:rsidP="00EF1278">
      <w:pPr>
        <w:spacing w:line="360" w:lineRule="auto"/>
        <w:rPr>
          <w:rFonts w:ascii="Arial" w:hAnsi="Arial" w:cs="Arial"/>
          <w:sz w:val="28"/>
          <w:szCs w:val="28"/>
        </w:rPr>
      </w:pPr>
    </w:p>
    <w:p w14:paraId="5AF57361"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On the third issue of the introduction of a collegium system and its composition, the main matter of discussion was whether the Chief Justice of India should be a member of the collegium if the Supreme Court decides to constitute one for the appointment of the ECI members. The Constitutional Bench asserted that it was in favour of this being implemented because it would be the least intrusive solution. The reasoning used was that for statutory bodies, the appointments are made on the recommendations of a </w:t>
      </w:r>
      <w:proofErr w:type="gramStart"/>
      <w:r w:rsidRPr="00EF1278">
        <w:rPr>
          <w:rFonts w:ascii="Arial" w:hAnsi="Arial" w:cs="Arial"/>
          <w:sz w:val="28"/>
          <w:szCs w:val="28"/>
        </w:rPr>
        <w:t>broad based</w:t>
      </w:r>
      <w:proofErr w:type="gramEnd"/>
      <w:r w:rsidRPr="00EF1278">
        <w:rPr>
          <w:rFonts w:ascii="Arial" w:hAnsi="Arial" w:cs="Arial"/>
          <w:sz w:val="28"/>
          <w:szCs w:val="28"/>
        </w:rPr>
        <w:t xml:space="preserve"> committee and so, taking into consideration the far-reaching and important role of the Election Commission, the appointments should be based on a collegium system. The Court did not refer to other solutions because they felt that this reasoning was adequate to rule out the other solutions. To arrive at this conclusion, the Bench also referred to the Background Paper on Electoral Reform drafted by the Ministry of Law and Justice in 2010. Moreover, there have been reports in the past suggesting the same which have been ignored by the Central Government.</w:t>
      </w:r>
    </w:p>
    <w:p w14:paraId="155844AE" w14:textId="77777777" w:rsidR="00EF1278" w:rsidRPr="00EF1278" w:rsidRDefault="00EF1278" w:rsidP="00EF1278">
      <w:pPr>
        <w:spacing w:line="360" w:lineRule="auto"/>
        <w:rPr>
          <w:rFonts w:ascii="Arial" w:hAnsi="Arial" w:cs="Arial"/>
          <w:sz w:val="28"/>
          <w:szCs w:val="28"/>
        </w:rPr>
      </w:pPr>
    </w:p>
    <w:p w14:paraId="764F8506" w14:textId="77777777" w:rsidR="00EF1278" w:rsidRPr="00EF1278" w:rsidRDefault="00EF1278" w:rsidP="00EF1278">
      <w:pPr>
        <w:spacing w:line="360" w:lineRule="auto"/>
        <w:rPr>
          <w:rFonts w:ascii="Arial" w:hAnsi="Arial" w:cs="Arial"/>
          <w:sz w:val="28"/>
          <w:szCs w:val="28"/>
        </w:rPr>
      </w:pPr>
      <w:proofErr w:type="gramStart"/>
      <w:r w:rsidRPr="00EF1278">
        <w:rPr>
          <w:rFonts w:ascii="Arial" w:hAnsi="Arial" w:cs="Arial"/>
          <w:sz w:val="28"/>
          <w:szCs w:val="28"/>
        </w:rPr>
        <w:t>In regard to</w:t>
      </w:r>
      <w:proofErr w:type="gramEnd"/>
      <w:r w:rsidRPr="00EF1278">
        <w:rPr>
          <w:rFonts w:ascii="Arial" w:hAnsi="Arial" w:cs="Arial"/>
          <w:sz w:val="28"/>
          <w:szCs w:val="28"/>
        </w:rPr>
        <w:t xml:space="preserve"> the fourth issue of the Separation of Powers Doctrine, the main concern was whether the judiciary was infringing upon the Separation of Powers Doctrine by adjudicating the matter relating to the appointment </w:t>
      </w:r>
      <w:r w:rsidRPr="00EF1278">
        <w:rPr>
          <w:rFonts w:ascii="Arial" w:hAnsi="Arial" w:cs="Arial"/>
          <w:sz w:val="28"/>
          <w:szCs w:val="28"/>
        </w:rPr>
        <w:lastRenderedPageBreak/>
        <w:t xml:space="preserve">process of the ECI members. The Bench clarified that it was not inclined to issue a mandamus to the Government to enact the law and that the order as it stands is an interim measure which the State is bound to follow till the time a law is brought by </w:t>
      </w:r>
      <w:proofErr w:type="gramStart"/>
      <w:r w:rsidRPr="00EF1278">
        <w:rPr>
          <w:rFonts w:ascii="Arial" w:hAnsi="Arial" w:cs="Arial"/>
          <w:sz w:val="28"/>
          <w:szCs w:val="28"/>
        </w:rPr>
        <w:t>the parliament</w:t>
      </w:r>
      <w:proofErr w:type="gramEnd"/>
      <w:r w:rsidRPr="00EF1278">
        <w:rPr>
          <w:rFonts w:ascii="Arial" w:hAnsi="Arial" w:cs="Arial"/>
          <w:sz w:val="28"/>
          <w:szCs w:val="28"/>
        </w:rPr>
        <w:t xml:space="preserve">. There have been instances in the past where the courts have found it appropriate to come in with stop gap measures, one of the important ones being the Vishakha Guidelines for Sexual Harassment at the Workplace. The Supreme Court had held that sexual harassment is violative of the fundamental rights of the victim. The Court introduced a few guidelines which were taken into consideration by the government while passing the POSH Act. The Court in the Anoop Baranwal judgment has not explicitly referred to any such instance, however, it has referred to the Constituent Assembly Debates before concluding that the </w:t>
      </w:r>
      <w:proofErr w:type="gramStart"/>
      <w:r w:rsidRPr="00EF1278">
        <w:rPr>
          <w:rFonts w:ascii="Arial" w:hAnsi="Arial" w:cs="Arial"/>
          <w:sz w:val="28"/>
          <w:szCs w:val="28"/>
        </w:rPr>
        <w:t>framers</w:t>
      </w:r>
      <w:proofErr w:type="gramEnd"/>
      <w:r w:rsidRPr="00EF1278">
        <w:rPr>
          <w:rFonts w:ascii="Arial" w:hAnsi="Arial" w:cs="Arial"/>
          <w:sz w:val="28"/>
          <w:szCs w:val="28"/>
        </w:rPr>
        <w:t>’ clearly intended that the Parliament should make such a law. The petitioners had also not urged the Court to issue a mandamus.</w:t>
      </w:r>
    </w:p>
    <w:p w14:paraId="63AF31C3" w14:textId="77777777" w:rsidR="00EF1278" w:rsidRPr="00EF1278" w:rsidRDefault="00EF1278" w:rsidP="00EF1278">
      <w:pPr>
        <w:spacing w:line="360" w:lineRule="auto"/>
        <w:rPr>
          <w:rFonts w:ascii="Arial" w:hAnsi="Arial" w:cs="Arial"/>
          <w:sz w:val="28"/>
          <w:szCs w:val="28"/>
        </w:rPr>
      </w:pPr>
    </w:p>
    <w:p w14:paraId="5314E5F9"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The fifth important point discussed while dealing with the introduction of the collegium system was the distinction between the freedom to vote enshrined under Article 19 of the Constitution and the right to vote elucidated under Article 326 of the Constitution. Article 326 states that every person who fulfils the essential criteria has the right to cast their vote whereas the freedom to vote stems directly from the fundamental right of speech and expression because it includes the freedom of a voter to exercise his preferences in making a choice between the nominated candidates. This freedom carries with it auxiliary rights such as the right to secure information about the candidate. Thus, the right to vote under Article </w:t>
      </w:r>
      <w:r w:rsidRPr="00EF1278">
        <w:rPr>
          <w:rFonts w:ascii="Arial" w:hAnsi="Arial" w:cs="Arial"/>
          <w:sz w:val="28"/>
          <w:szCs w:val="28"/>
        </w:rPr>
        <w:lastRenderedPageBreak/>
        <w:t>326 is a Constitutional right as opposed to the freedom to vote which is a facet of the fundamental right enshrined under Article 19 of the Constitution of India.</w:t>
      </w:r>
    </w:p>
    <w:p w14:paraId="63C75D04" w14:textId="77777777" w:rsidR="00EF1278" w:rsidRPr="00EF1278" w:rsidRDefault="00EF1278" w:rsidP="00EF1278">
      <w:pPr>
        <w:spacing w:line="360" w:lineRule="auto"/>
        <w:rPr>
          <w:rFonts w:ascii="Arial" w:hAnsi="Arial" w:cs="Arial"/>
          <w:sz w:val="28"/>
          <w:szCs w:val="28"/>
        </w:rPr>
      </w:pPr>
    </w:p>
    <w:p w14:paraId="7248614E"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The judges mainly looked at the provision in its historical context by examining the Constituent Assembly Debates as well as the wording of the provision and concluded that the Constitution makers had intended to keep the ECI free from the interference of the executive. For this </w:t>
      </w:r>
      <w:proofErr w:type="gramStart"/>
      <w:r w:rsidRPr="00EF1278">
        <w:rPr>
          <w:rFonts w:ascii="Arial" w:hAnsi="Arial" w:cs="Arial"/>
          <w:sz w:val="28"/>
          <w:szCs w:val="28"/>
        </w:rPr>
        <w:t>reason</w:t>
      </w:r>
      <w:proofErr w:type="gramEnd"/>
      <w:r w:rsidRPr="00EF1278">
        <w:rPr>
          <w:rFonts w:ascii="Arial" w:hAnsi="Arial" w:cs="Arial"/>
          <w:sz w:val="28"/>
          <w:szCs w:val="28"/>
        </w:rPr>
        <w:t xml:space="preserve"> they had given </w:t>
      </w:r>
      <w:proofErr w:type="gramStart"/>
      <w:r w:rsidRPr="00EF1278">
        <w:rPr>
          <w:rFonts w:ascii="Arial" w:hAnsi="Arial" w:cs="Arial"/>
          <w:sz w:val="28"/>
          <w:szCs w:val="28"/>
        </w:rPr>
        <w:t>the power</w:t>
      </w:r>
      <w:proofErr w:type="gramEnd"/>
      <w:r w:rsidRPr="00EF1278">
        <w:rPr>
          <w:rFonts w:ascii="Arial" w:hAnsi="Arial" w:cs="Arial"/>
          <w:sz w:val="28"/>
          <w:szCs w:val="28"/>
        </w:rPr>
        <w:t xml:space="preserve"> to the Parliament to make a law related to the appointment of the Election Commissioners. The second consideration of the judges was related to the constantly expanding scope, functions and powers of the ECI which justifies the need for their independence. They considered it necessary to uphold Constitutional democracy, for which conducting free, fair and independent elections is an essential pre-requisite. The third important reasoning given was to protect the independence of the ECI until </w:t>
      </w:r>
      <w:proofErr w:type="gramStart"/>
      <w:r w:rsidRPr="00EF1278">
        <w:rPr>
          <w:rFonts w:ascii="Arial" w:hAnsi="Arial" w:cs="Arial"/>
          <w:sz w:val="28"/>
          <w:szCs w:val="28"/>
        </w:rPr>
        <w:t>the Parliament</w:t>
      </w:r>
      <w:proofErr w:type="gramEnd"/>
      <w:r w:rsidRPr="00EF1278">
        <w:rPr>
          <w:rFonts w:ascii="Arial" w:hAnsi="Arial" w:cs="Arial"/>
          <w:sz w:val="28"/>
          <w:szCs w:val="28"/>
        </w:rPr>
        <w:t xml:space="preserve"> passes a law in this regard. This serves the purpose of filling the gap created because of the Parliament not introducing a law to regulate the ECI appointments.</w:t>
      </w:r>
    </w:p>
    <w:p w14:paraId="5DC9DB08" w14:textId="77777777" w:rsidR="00EF1278" w:rsidRPr="00EF1278" w:rsidRDefault="00EF1278" w:rsidP="00EF1278">
      <w:pPr>
        <w:spacing w:line="360" w:lineRule="auto"/>
        <w:rPr>
          <w:rFonts w:ascii="Arial" w:hAnsi="Arial" w:cs="Arial"/>
          <w:sz w:val="28"/>
          <w:szCs w:val="28"/>
        </w:rPr>
      </w:pPr>
    </w:p>
    <w:p w14:paraId="23E498C0"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Conclusion</w:t>
      </w:r>
    </w:p>
    <w:p w14:paraId="13C4C53C" w14:textId="77777777" w:rsidR="00EF1278" w:rsidRPr="00EF1278" w:rsidRDefault="00EF1278" w:rsidP="00EF1278">
      <w:pPr>
        <w:spacing w:line="360" w:lineRule="auto"/>
        <w:rPr>
          <w:rFonts w:ascii="Arial" w:hAnsi="Arial" w:cs="Arial"/>
          <w:sz w:val="28"/>
          <w:szCs w:val="28"/>
        </w:rPr>
      </w:pPr>
    </w:p>
    <w:p w14:paraId="7ECF4D35" w14:textId="77777777" w:rsidR="00EF1278" w:rsidRPr="00EF1278" w:rsidRDefault="00EF1278" w:rsidP="00EF1278">
      <w:pPr>
        <w:spacing w:line="360" w:lineRule="auto"/>
        <w:rPr>
          <w:rFonts w:ascii="Arial" w:hAnsi="Arial" w:cs="Arial"/>
          <w:sz w:val="28"/>
          <w:szCs w:val="28"/>
        </w:rPr>
      </w:pPr>
      <w:r w:rsidRPr="00EF1278">
        <w:rPr>
          <w:rFonts w:ascii="Arial" w:hAnsi="Arial" w:cs="Arial"/>
          <w:sz w:val="28"/>
          <w:szCs w:val="28"/>
        </w:rPr>
        <w:t xml:space="preserve">An amalgamation of these three considerations led to the judgment which deviated from the </w:t>
      </w:r>
      <w:proofErr w:type="gramStart"/>
      <w:r w:rsidRPr="00EF1278">
        <w:rPr>
          <w:rFonts w:ascii="Arial" w:hAnsi="Arial" w:cs="Arial"/>
          <w:sz w:val="28"/>
          <w:szCs w:val="28"/>
        </w:rPr>
        <w:t>widely-practiced</w:t>
      </w:r>
      <w:proofErr w:type="gramEnd"/>
      <w:r w:rsidRPr="00EF1278">
        <w:rPr>
          <w:rFonts w:ascii="Arial" w:hAnsi="Arial" w:cs="Arial"/>
          <w:sz w:val="28"/>
          <w:szCs w:val="28"/>
        </w:rPr>
        <w:t xml:space="preserve"> appointment procedure which has been continuously followed for decades at a stretch, thus making this decision nothing less than a historical one.</w:t>
      </w:r>
    </w:p>
    <w:p w14:paraId="71D1F638" w14:textId="77777777" w:rsidR="00EF1278" w:rsidRPr="00EF1278" w:rsidRDefault="00EF1278" w:rsidP="00EF1278">
      <w:pPr>
        <w:spacing w:line="360" w:lineRule="auto"/>
        <w:rPr>
          <w:rFonts w:ascii="Arial" w:hAnsi="Arial" w:cs="Arial"/>
          <w:sz w:val="28"/>
          <w:szCs w:val="28"/>
        </w:rPr>
      </w:pPr>
    </w:p>
    <w:p w14:paraId="078C3974" w14:textId="1EDFA7E0" w:rsidR="00EF1278" w:rsidRDefault="00EF1278" w:rsidP="00EF1278">
      <w:pPr>
        <w:spacing w:line="360" w:lineRule="auto"/>
        <w:rPr>
          <w:rFonts w:ascii="Arial" w:hAnsi="Arial" w:cs="Arial"/>
          <w:sz w:val="28"/>
          <w:szCs w:val="28"/>
        </w:rPr>
      </w:pPr>
      <w:r w:rsidRPr="00EF1278">
        <w:rPr>
          <w:rFonts w:ascii="Arial" w:hAnsi="Arial" w:cs="Arial"/>
          <w:sz w:val="28"/>
          <w:szCs w:val="28"/>
        </w:rPr>
        <w:t xml:space="preserve">The impact of the judgment cannot be accurately ascertained, with contrasting views being aired. Some people are of the opinion that the decision of the Supreme Court in this case violates the separation of powers principle whereas others </w:t>
      </w:r>
      <w:proofErr w:type="spellStart"/>
      <w:r w:rsidRPr="00EF1278">
        <w:rPr>
          <w:rFonts w:ascii="Arial" w:hAnsi="Arial" w:cs="Arial"/>
          <w:sz w:val="28"/>
          <w:szCs w:val="28"/>
        </w:rPr>
        <w:t>recognise</w:t>
      </w:r>
      <w:proofErr w:type="spellEnd"/>
      <w:r w:rsidRPr="00EF1278">
        <w:rPr>
          <w:rFonts w:ascii="Arial" w:hAnsi="Arial" w:cs="Arial"/>
          <w:sz w:val="28"/>
          <w:szCs w:val="28"/>
        </w:rPr>
        <w:t xml:space="preserve"> the importance of this decision to retain the independence of the ECI.</w:t>
      </w:r>
    </w:p>
    <w:p w14:paraId="4EB14797" w14:textId="1B2E514D" w:rsidR="00EF1278" w:rsidRDefault="00A550F2" w:rsidP="00EF1278">
      <w:pPr>
        <w:spacing w:line="360" w:lineRule="auto"/>
        <w:rPr>
          <w:rFonts w:ascii="Arial" w:hAnsi="Arial" w:cs="Arial"/>
          <w:sz w:val="28"/>
          <w:szCs w:val="28"/>
        </w:rPr>
      </w:pPr>
      <w:proofErr w:type="spellStart"/>
      <w:r>
        <w:rPr>
          <w:rFonts w:ascii="Arial" w:hAnsi="Arial" w:cs="Arial"/>
          <w:sz w:val="28"/>
          <w:szCs w:val="28"/>
        </w:rPr>
        <w:t>X</w:t>
      </w:r>
      <w:r w:rsidR="00EF1278">
        <w:rPr>
          <w:rFonts w:ascii="Arial" w:hAnsi="Arial" w:cs="Arial"/>
          <w:sz w:val="28"/>
          <w:szCs w:val="28"/>
        </w:rPr>
        <w:t>xxxxxxxxxxxxxxxxxxxxxxxxxxxxxxxxxxxxxxxxxxxxxxxxxxxx</w:t>
      </w:r>
      <w:proofErr w:type="spellEnd"/>
    </w:p>
    <w:p w14:paraId="3ACDEA85" w14:textId="33F53991" w:rsidR="00A550F2" w:rsidRPr="007E2431" w:rsidRDefault="00A550F2" w:rsidP="00EF1278">
      <w:pPr>
        <w:spacing w:line="360" w:lineRule="auto"/>
        <w:rPr>
          <w:rFonts w:ascii="Arial" w:hAnsi="Arial" w:cs="Arial"/>
          <w:sz w:val="28"/>
          <w:szCs w:val="28"/>
        </w:rPr>
      </w:pPr>
      <w:r w:rsidRPr="00A550F2">
        <w:rPr>
          <w:rFonts w:ascii="Arial" w:hAnsi="Arial" w:cs="Arial"/>
          <w:sz w:val="28"/>
          <w:szCs w:val="28"/>
          <w:highlight w:val="yellow"/>
        </w:rPr>
        <w:t>K RAJARAM IRS 15825</w:t>
      </w:r>
    </w:p>
    <w:sectPr w:rsidR="00A550F2" w:rsidRPr="007E2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31"/>
    <w:rsid w:val="00247C32"/>
    <w:rsid w:val="00626D97"/>
    <w:rsid w:val="007E2431"/>
    <w:rsid w:val="00A550F2"/>
    <w:rsid w:val="00BE1942"/>
    <w:rsid w:val="00EF1278"/>
    <w:rsid w:val="00F63710"/>
    <w:rsid w:val="00FB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6A74"/>
  <w15:chartTrackingRefBased/>
  <w15:docId w15:val="{ECAAB2EB-4AFD-4BC5-820A-22BA67A3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4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4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24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24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4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4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24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24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24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24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2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431"/>
    <w:rPr>
      <w:rFonts w:eastAsiaTheme="majorEastAsia" w:cstheme="majorBidi"/>
      <w:color w:val="272727" w:themeColor="text1" w:themeTint="D8"/>
    </w:rPr>
  </w:style>
  <w:style w:type="paragraph" w:styleId="Title">
    <w:name w:val="Title"/>
    <w:basedOn w:val="Normal"/>
    <w:next w:val="Normal"/>
    <w:link w:val="TitleChar"/>
    <w:uiPriority w:val="10"/>
    <w:qFormat/>
    <w:rsid w:val="007E2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431"/>
    <w:pPr>
      <w:spacing w:before="160"/>
      <w:jc w:val="center"/>
    </w:pPr>
    <w:rPr>
      <w:i/>
      <w:iCs/>
      <w:color w:val="404040" w:themeColor="text1" w:themeTint="BF"/>
    </w:rPr>
  </w:style>
  <w:style w:type="character" w:customStyle="1" w:styleId="QuoteChar">
    <w:name w:val="Quote Char"/>
    <w:basedOn w:val="DefaultParagraphFont"/>
    <w:link w:val="Quote"/>
    <w:uiPriority w:val="29"/>
    <w:rsid w:val="007E2431"/>
    <w:rPr>
      <w:i/>
      <w:iCs/>
      <w:color w:val="404040" w:themeColor="text1" w:themeTint="BF"/>
    </w:rPr>
  </w:style>
  <w:style w:type="paragraph" w:styleId="ListParagraph">
    <w:name w:val="List Paragraph"/>
    <w:basedOn w:val="Normal"/>
    <w:uiPriority w:val="34"/>
    <w:qFormat/>
    <w:rsid w:val="007E2431"/>
    <w:pPr>
      <w:ind w:left="720"/>
      <w:contextualSpacing/>
    </w:pPr>
  </w:style>
  <w:style w:type="character" w:styleId="IntenseEmphasis">
    <w:name w:val="Intense Emphasis"/>
    <w:basedOn w:val="DefaultParagraphFont"/>
    <w:uiPriority w:val="21"/>
    <w:qFormat/>
    <w:rsid w:val="007E2431"/>
    <w:rPr>
      <w:i/>
      <w:iCs/>
      <w:color w:val="2F5496" w:themeColor="accent1" w:themeShade="BF"/>
    </w:rPr>
  </w:style>
  <w:style w:type="paragraph" w:styleId="IntenseQuote">
    <w:name w:val="Intense Quote"/>
    <w:basedOn w:val="Normal"/>
    <w:next w:val="Normal"/>
    <w:link w:val="IntenseQuoteChar"/>
    <w:uiPriority w:val="30"/>
    <w:qFormat/>
    <w:rsid w:val="007E2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431"/>
    <w:rPr>
      <w:i/>
      <w:iCs/>
      <w:color w:val="2F5496" w:themeColor="accent1" w:themeShade="BF"/>
    </w:rPr>
  </w:style>
  <w:style w:type="character" w:styleId="IntenseReference">
    <w:name w:val="Intense Reference"/>
    <w:basedOn w:val="DefaultParagraphFont"/>
    <w:uiPriority w:val="32"/>
    <w:qFormat/>
    <w:rsid w:val="007E24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30</Pages>
  <Words>6060</Words>
  <Characters>34548</Characters>
  <Application>Microsoft Office Word</Application>
  <DocSecurity>0</DocSecurity>
  <Lines>287</Lines>
  <Paragraphs>81</Paragraphs>
  <ScaleCrop>false</ScaleCrop>
  <Company/>
  <LinksUpToDate>false</LinksUpToDate>
  <CharactersWithSpaces>40527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ram</dc:creator>
  <cp:keywords/>
  <dc:description/>
  <cp:lastModifiedBy>Raja ram</cp:lastModifiedBy>
  <cp:revision>3</cp:revision>
  <dcterms:created xsi:type="dcterms:W3CDTF">2025-08-15T05:05:00Z</dcterms:created>
  <dcterms:modified xsi:type="dcterms:W3CDTF">2025-08-15T05:13:00Z</dcterms:modified>
</cp:coreProperties>
</file>