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D0" w:rsidRDefault="009632D0" w:rsidP="009632D0">
      <w:r w:rsidRPr="001C0CDC">
        <w:rPr>
          <w:b/>
        </w:rPr>
        <w:t>Placement Guidelines</w:t>
      </w:r>
      <w:r>
        <w:t>:</w:t>
      </w:r>
      <w:r w:rsidR="00933497">
        <w:t xml:space="preserve"> </w:t>
      </w:r>
    </w:p>
    <w:p w:rsidR="009B3FB8" w:rsidRDefault="00933497" w:rsidP="00933497">
      <w:pPr>
        <w:pStyle w:val="ListParagraph"/>
        <w:numPr>
          <w:ilvl w:val="0"/>
          <w:numId w:val="3"/>
        </w:numPr>
      </w:pPr>
      <w:r>
        <w:t>Gathering Spaces (Classrooms, Meeting Rooms, Lounges, lobbies</w:t>
      </w:r>
      <w:r w:rsidR="0068390D">
        <w:t xml:space="preserve"> with seating</w:t>
      </w:r>
      <w:r>
        <w:t xml:space="preserve">, etc.) with seating for 15 or more people should get at least one AP inside the space.  </w:t>
      </w:r>
      <w:r w:rsidR="00772514">
        <w:t>An exception to this rule would be in buildings with many adjacent classrooms separated by drywall walls</w:t>
      </w:r>
      <w:bookmarkStart w:id="0" w:name="_GoBack"/>
      <w:bookmarkEnd w:id="0"/>
      <w:r w:rsidR="00772514">
        <w:t>.</w:t>
      </w:r>
      <w:r w:rsidR="00812380">
        <w:t xml:space="preserve"> </w:t>
      </w:r>
    </w:p>
    <w:p w:rsidR="00F42372" w:rsidRDefault="00F42372" w:rsidP="00933497">
      <w:pPr>
        <w:pStyle w:val="ListParagraph"/>
        <w:numPr>
          <w:ilvl w:val="0"/>
          <w:numId w:val="3"/>
        </w:numPr>
      </w:pPr>
      <w:r>
        <w:t>APs outside gathering spaces should be located such that the APs inside a gathering space only cover the gathering space</w:t>
      </w:r>
      <w:r w:rsidR="00B83D1B">
        <w:t>.  Hallways &amp; lobbies out</w:t>
      </w:r>
      <w:r>
        <w:t xml:space="preserve">side classrooms areas where students gather while waiting for class changes should be covered by separate APs from the classrooms themselves.  On the other hand, a classroom AP may be used to cover a narrow hallway </w:t>
      </w:r>
      <w:r w:rsidR="00B83D1B">
        <w:t>that is used only for moving foot traffic.</w:t>
      </w:r>
    </w:p>
    <w:p w:rsidR="00933497" w:rsidRDefault="00933497" w:rsidP="00933497">
      <w:pPr>
        <w:pStyle w:val="ListParagraph"/>
        <w:numPr>
          <w:ilvl w:val="0"/>
          <w:numId w:val="3"/>
        </w:numPr>
      </w:pPr>
      <w:r>
        <w:t>Gathering spaces with seating for less than 15 people should have an AP located no more than one drywall wall away.  For high-loss walls (Block, Concrete, Brick, Plaster on metal lath,</w:t>
      </w:r>
      <w:r w:rsidR="00F42372">
        <w:t xml:space="preserve"> </w:t>
      </w:r>
      <w:r>
        <w:t>etc.) the AP should be located inside the gathering space.</w:t>
      </w:r>
    </w:p>
    <w:p w:rsidR="00933497" w:rsidRDefault="00F42372" w:rsidP="00933497">
      <w:pPr>
        <w:pStyle w:val="ListParagraph"/>
        <w:numPr>
          <w:ilvl w:val="0"/>
          <w:numId w:val="3"/>
        </w:numPr>
      </w:pPr>
      <w:r>
        <w:t>Capacity for gymnasia should be planned at 50% of the max attendance.  Ask building contacts about attendance for recurring special events held in the space.</w:t>
      </w:r>
    </w:p>
    <w:p w:rsidR="00DD142F" w:rsidRDefault="00DD142F" w:rsidP="00933497">
      <w:pPr>
        <w:pStyle w:val="ListParagraph"/>
        <w:numPr>
          <w:ilvl w:val="0"/>
          <w:numId w:val="3"/>
        </w:numPr>
      </w:pPr>
      <w:r>
        <w:t>Once APs for gathering spaces have been located, fill in remaining areas ensuring the current minimum coverage standard.</w:t>
      </w:r>
    </w:p>
    <w:p w:rsidR="00933497" w:rsidRDefault="007867DE" w:rsidP="00933497">
      <w:pPr>
        <w:pStyle w:val="ListParagraph"/>
        <w:numPr>
          <w:ilvl w:val="0"/>
          <w:numId w:val="3"/>
        </w:numPr>
      </w:pPr>
      <w:r>
        <w:t xml:space="preserve">In general, APs should not be located in corridors.  This is especially important </w:t>
      </w:r>
      <w:r w:rsidR="00962D1D">
        <w:t xml:space="preserve">in long corridors or </w:t>
      </w:r>
      <w:r>
        <w:t>when corridors are stacked on different floors.</w:t>
      </w:r>
      <w:r w:rsidR="00962D1D">
        <w:t xml:space="preserve">  Exceptions can be made when locating an AP in a corridor will greatly increase the area covered by an AP without introducing significant co-channel interference (typically short corridors, buildings with three floors or less, or where path loss two floors from the AP is 50dBm or greater), or when the purpose of the AP is to cover the corridor.</w:t>
      </w:r>
    </w:p>
    <w:p w:rsidR="00D702AC" w:rsidRDefault="00D702AC" w:rsidP="00087D10">
      <w:pPr>
        <w:pStyle w:val="ListParagraph"/>
        <w:numPr>
          <w:ilvl w:val="0"/>
          <w:numId w:val="3"/>
        </w:numPr>
      </w:pPr>
      <w:r>
        <w:t>Try to avoid locating APs in the same location</w:t>
      </w:r>
      <w:r w:rsidR="00B70BF4">
        <w:t>s</w:t>
      </w:r>
      <w:r>
        <w:t xml:space="preserve"> on each floor of a multi-story building</w:t>
      </w:r>
      <w:r w:rsidR="00087D10">
        <w:t xml:space="preserve"> (aka, stacking)</w:t>
      </w:r>
      <w:r>
        <w:t>.</w:t>
      </w:r>
      <w:r w:rsidR="00B70BF4">
        <w:t xml:space="preserve">  This is less important in 2-story buildings, and buildings where the path loss two floors</w:t>
      </w:r>
      <w:r w:rsidR="00087D10">
        <w:t xml:space="preserve"> from an AP is 50dBm or greater, however, even in such cases, APs should only be stacked if there is a compelling reason to do so.  Some example of when stacking may be acceptable are: cable pathways require it, coverage areas and floor plans require it (such as in apartment-style residence halls), or a significant cost reduction is achieved without compromising network performance (such as in low-user-density, two-story buildings with high-loss floors.)</w:t>
      </w:r>
    </w:p>
    <w:p w:rsidR="003626BA" w:rsidRDefault="00314770" w:rsidP="00933497">
      <w:pPr>
        <w:pStyle w:val="ListParagraph"/>
        <w:numPr>
          <w:ilvl w:val="0"/>
          <w:numId w:val="3"/>
        </w:numPr>
      </w:pPr>
      <w:r>
        <w:t xml:space="preserve">APs </w:t>
      </w:r>
      <w:r w:rsidR="00B8331F">
        <w:t>must</w:t>
      </w:r>
      <w:r>
        <w:t xml:space="preserve"> be located at least 10 feet apart</w:t>
      </w:r>
      <w:r w:rsidR="005F3254">
        <w:t xml:space="preserve"> in free space</w:t>
      </w:r>
      <w:r>
        <w:t>, and 25 feet is preferred.</w:t>
      </w:r>
    </w:p>
    <w:p w:rsidR="003A66DB" w:rsidRDefault="003A66DB" w:rsidP="00933497">
      <w:pPr>
        <w:pStyle w:val="ListParagraph"/>
        <w:numPr>
          <w:ilvl w:val="0"/>
          <w:numId w:val="3"/>
        </w:numPr>
      </w:pPr>
      <w:r>
        <w:t xml:space="preserve">Rooms exceeding </w:t>
      </w:r>
      <w:r w:rsidR="0053284E">
        <w:t>3</w:t>
      </w:r>
      <w:r>
        <w:t>00 occupants may require creative AP placement to minimize co-channel interference.  This is especially true when multiple such venues are adjacent to each other in the same building.  When the signal from more than 9 APs will be detected (RSSI&gt;=-83dBm) in a space, APs should be installed either under seats or on the ceiling with narrow-beam directional antennas pointing downward.</w:t>
      </w:r>
      <w:r w:rsidR="002025D6">
        <w:t xml:space="preserve">  No more than (3) </w:t>
      </w:r>
      <w:proofErr w:type="gramStart"/>
      <w:r w:rsidR="002025D6">
        <w:t>2.4Ghz</w:t>
      </w:r>
      <w:proofErr w:type="gramEnd"/>
      <w:r w:rsidR="002025D6">
        <w:t xml:space="preserve"> radios should be enabled in a space</w:t>
      </w:r>
      <w:r w:rsidR="007D17B2">
        <w:t>.  If APs are installed under seats or using high-gain antennas, separate APs should be used for 2.4GHz coverage.  5GHz radios on these APs should be disabled and the APs should be designed such that each covers approximately 1/3 of the occupants.</w:t>
      </w:r>
      <w:r w:rsidR="000C2DE8">
        <w:t xml:space="preserve">  If this is not possible, then all three APs should cover the entire space, and aggressive load balancing parameters should be applied</w:t>
      </w:r>
      <w:r w:rsidR="00740451">
        <w:t xml:space="preserve"> to the 2.4G</w:t>
      </w:r>
      <w:r w:rsidR="00340F21">
        <w:t>H</w:t>
      </w:r>
      <w:r w:rsidR="00740451">
        <w:t>z radios</w:t>
      </w:r>
      <w:r w:rsidR="000C2DE8">
        <w:t>.</w:t>
      </w:r>
    </w:p>
    <w:p w:rsidR="006439D3" w:rsidRDefault="006439D3" w:rsidP="006439D3">
      <w:pPr>
        <w:rPr>
          <w:b/>
        </w:rPr>
      </w:pPr>
      <w:r w:rsidRPr="006439D3">
        <w:rPr>
          <w:b/>
        </w:rPr>
        <w:lastRenderedPageBreak/>
        <w:t>Site Survey Process</w:t>
      </w:r>
    </w:p>
    <w:p w:rsidR="006439D3" w:rsidRDefault="006439D3" w:rsidP="006439D3">
      <w:pPr>
        <w:pStyle w:val="ListParagraph"/>
        <w:numPr>
          <w:ilvl w:val="0"/>
          <w:numId w:val="4"/>
        </w:numPr>
      </w:pPr>
      <w:r>
        <w:t xml:space="preserve">Configure AP with high </w:t>
      </w:r>
      <w:proofErr w:type="spellStart"/>
      <w:proofErr w:type="gramStart"/>
      <w:r>
        <w:t>Tx</w:t>
      </w:r>
      <w:proofErr w:type="spellEnd"/>
      <w:proofErr w:type="gramEnd"/>
      <w:r>
        <w:t xml:space="preserve"> power settings (12dBm at 2.4GHz and 15dBm at 5GHz) and place AP in desired location.</w:t>
      </w:r>
    </w:p>
    <w:p w:rsidR="006439D3" w:rsidRDefault="006439D3" w:rsidP="006439D3">
      <w:pPr>
        <w:pStyle w:val="ListParagraph"/>
        <w:numPr>
          <w:ilvl w:val="0"/>
          <w:numId w:val="4"/>
        </w:numPr>
      </w:pPr>
      <w:r>
        <w:t xml:space="preserve">Identify desired cell boundary.  Boundary may be determined by client density or 5GHz signal propagation (-60dBm on Fluke </w:t>
      </w:r>
      <w:proofErr w:type="spellStart"/>
      <w:r>
        <w:t>AirCheck</w:t>
      </w:r>
      <w:proofErr w:type="spellEnd"/>
      <w:r>
        <w:t>).</w:t>
      </w:r>
    </w:p>
    <w:p w:rsidR="006439D3" w:rsidRDefault="006439D3" w:rsidP="006439D3">
      <w:pPr>
        <w:pStyle w:val="ListParagraph"/>
        <w:numPr>
          <w:ilvl w:val="0"/>
          <w:numId w:val="4"/>
        </w:numPr>
      </w:pPr>
      <w:r>
        <w:t xml:space="preserve">Note weakest measured 5GHz receive signal at the coverage boundary, add 60 and round to nearest 3dB.  This will be the 5GHz adjustment value, </w:t>
      </w:r>
      <w:r w:rsidRPr="00835809">
        <w:rPr>
          <w:i/>
        </w:rPr>
        <w:t>A</w:t>
      </w:r>
      <w:r w:rsidRPr="00835809">
        <w:rPr>
          <w:i/>
          <w:vertAlign w:val="subscript"/>
        </w:rPr>
        <w:t>5</w:t>
      </w:r>
      <w:r>
        <w:t xml:space="preserve">.  Subtract the 5GHz adjustment value from 15dBm.  This will be your 5GHz transmit power, </w:t>
      </w:r>
      <w:r w:rsidRPr="00835809">
        <w:rPr>
          <w:i/>
        </w:rPr>
        <w:t>Tx</w:t>
      </w:r>
      <w:r w:rsidRPr="00835809">
        <w:rPr>
          <w:i/>
          <w:vertAlign w:val="subscript"/>
        </w:rPr>
        <w:t>5</w:t>
      </w:r>
      <w:r>
        <w:t>.  Subtract the 5GH</w:t>
      </w:r>
      <w:r w:rsidR="00E5377B">
        <w:t>z</w:t>
      </w:r>
      <w:r>
        <w:t xml:space="preserve"> adjustment value from the weakest measured 5GHz receive signal.  This will be your adjusted 5GHz Rx signal, </w:t>
      </w:r>
      <w:r w:rsidRPr="005E02FA">
        <w:rPr>
          <w:i/>
        </w:rPr>
        <w:t>Rx</w:t>
      </w:r>
      <w:r w:rsidRPr="005E02FA">
        <w:rPr>
          <w:i/>
          <w:vertAlign w:val="subscript"/>
        </w:rPr>
        <w:t>5a</w:t>
      </w:r>
      <w:r>
        <w:t>, for use in the next step.</w:t>
      </w:r>
    </w:p>
    <w:p w:rsidR="006439D3" w:rsidRPr="0059278C" w:rsidRDefault="00817F85" w:rsidP="006439D3">
      <w:pPr>
        <w:jc w:val="center"/>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5</m:t>
              </m:r>
            </m:sub>
          </m:sSub>
          <m:sSub>
            <m:sSubPr>
              <m:ctrlPr>
                <w:rPr>
                  <w:rFonts w:ascii="Cambria Math" w:hAnsi="Cambria Math"/>
                  <w:i/>
                </w:rPr>
              </m:ctrlPr>
            </m:sSubPr>
            <m:e>
              <m:r>
                <w:rPr>
                  <w:rFonts w:ascii="Cambria Math" w:hAnsi="Cambria Math"/>
                </w:rPr>
                <m:t>=RND</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 xml:space="preserve"> Rx</m:t>
              </m:r>
            </m:e>
            <m:sub>
              <m:r>
                <w:rPr>
                  <w:rFonts w:ascii="Cambria Math" w:hAnsi="Cambria Math"/>
                </w:rPr>
                <m:t>5</m:t>
              </m:r>
            </m:sub>
          </m:sSub>
          <m:r>
            <w:rPr>
              <w:rFonts w:ascii="Cambria Math" w:hAnsi="Cambria Math"/>
            </w:rPr>
            <m:t>+60)</m:t>
          </m:r>
        </m:oMath>
      </m:oMathPara>
    </w:p>
    <w:p w:rsidR="006439D3" w:rsidRPr="0059278C" w:rsidRDefault="00817F85" w:rsidP="006439D3">
      <w:pPr>
        <w:jc w:val="center"/>
        <w:rPr>
          <w:rFonts w:eastAsiaTheme="minorEastAsia"/>
        </w:rPr>
      </w:pPr>
      <m:oMathPara>
        <m:oMath>
          <m:sSub>
            <m:sSubPr>
              <m:ctrlPr>
                <w:rPr>
                  <w:rFonts w:ascii="Cambria Math" w:hAnsi="Cambria Math"/>
                  <w:i/>
                </w:rPr>
              </m:ctrlPr>
            </m:sSubPr>
            <m:e>
              <m:r>
                <w:rPr>
                  <w:rFonts w:ascii="Cambria Math" w:hAnsi="Cambria Math"/>
                </w:rPr>
                <m:t>Tx</m:t>
              </m:r>
            </m:e>
            <m:sub>
              <m:r>
                <w:rPr>
                  <w:rFonts w:ascii="Cambria Math" w:hAnsi="Cambria Math"/>
                </w:rPr>
                <m:t>5</m:t>
              </m:r>
            </m:sub>
          </m:sSub>
          <m:r>
            <w:rPr>
              <w:rFonts w:ascii="Cambria Math" w:hAnsi="Cambria Math"/>
            </w:rPr>
            <m:t>=15-</m:t>
          </m:r>
          <m:sSub>
            <m:sSubPr>
              <m:ctrlPr>
                <w:rPr>
                  <w:rFonts w:ascii="Cambria Math" w:hAnsi="Cambria Math"/>
                  <w:i/>
                </w:rPr>
              </m:ctrlPr>
            </m:sSubPr>
            <m:e>
              <m:r>
                <w:rPr>
                  <w:rFonts w:ascii="Cambria Math" w:hAnsi="Cambria Math"/>
                </w:rPr>
                <m:t>A</m:t>
              </m:r>
            </m:e>
            <m:sub>
              <m:r>
                <w:rPr>
                  <w:rFonts w:ascii="Cambria Math" w:hAnsi="Cambria Math"/>
                </w:rPr>
                <m:t>5</m:t>
              </m:r>
            </m:sub>
          </m:sSub>
        </m:oMath>
      </m:oMathPara>
    </w:p>
    <w:p w:rsidR="006439D3" w:rsidRDefault="00817F85" w:rsidP="006439D3">
      <w:pPr>
        <w:jc w:val="center"/>
      </w:pPr>
      <m:oMathPara>
        <m:oMath>
          <m:sSub>
            <m:sSubPr>
              <m:ctrlPr>
                <w:rPr>
                  <w:rFonts w:ascii="Cambria Math" w:hAnsi="Cambria Math"/>
                  <w:i/>
                </w:rPr>
              </m:ctrlPr>
            </m:sSubPr>
            <m:e>
              <m:r>
                <w:rPr>
                  <w:rFonts w:ascii="Cambria Math" w:hAnsi="Cambria Math"/>
                </w:rPr>
                <m:t>Rx</m:t>
              </m:r>
            </m:e>
            <m:sub>
              <m:r>
                <w:rPr>
                  <w:rFonts w:ascii="Cambria Math" w:hAnsi="Cambria Math"/>
                </w:rPr>
                <m:t>5a</m:t>
              </m:r>
            </m:sub>
          </m:sSub>
          <m:r>
            <w:rPr>
              <w:rFonts w:ascii="Cambria Math" w:hAnsi="Cambria Math"/>
            </w:rPr>
            <m:t>=</m:t>
          </m:r>
          <m:sSub>
            <m:sSubPr>
              <m:ctrlPr>
                <w:rPr>
                  <w:rFonts w:ascii="Cambria Math" w:hAnsi="Cambria Math"/>
                  <w:i/>
                </w:rPr>
              </m:ctrlPr>
            </m:sSubPr>
            <m:e>
              <m:r>
                <w:rPr>
                  <w:rFonts w:ascii="Cambria Math" w:hAnsi="Cambria Math"/>
                </w:rPr>
                <m:t xml:space="preserve"> Rx</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5</m:t>
              </m:r>
            </m:sub>
          </m:sSub>
        </m:oMath>
      </m:oMathPara>
    </w:p>
    <w:p w:rsidR="006439D3" w:rsidRDefault="006439D3" w:rsidP="006439D3">
      <w:pPr>
        <w:pStyle w:val="ListParagraph"/>
        <w:numPr>
          <w:ilvl w:val="0"/>
          <w:numId w:val="4"/>
        </w:numPr>
      </w:pPr>
      <w:r>
        <w:t xml:space="preserve">Note weakest measured 2.4GHz receive signal at the coverage boundary, </w:t>
      </w:r>
      <w:r w:rsidRPr="005E02FA">
        <w:rPr>
          <w:i/>
        </w:rPr>
        <w:t>Rx</w:t>
      </w:r>
      <w:r>
        <w:rPr>
          <w:i/>
          <w:vertAlign w:val="subscript"/>
        </w:rPr>
        <w:t>2.4</w:t>
      </w:r>
      <w:r>
        <w:t xml:space="preserve">.  If this signal is at least 3dB weaker than </w:t>
      </w:r>
      <w:r w:rsidRPr="005E02FA">
        <w:rPr>
          <w:i/>
        </w:rPr>
        <w:t>Rx</w:t>
      </w:r>
      <w:r w:rsidRPr="005E02FA">
        <w:rPr>
          <w:i/>
          <w:vertAlign w:val="subscript"/>
        </w:rPr>
        <w:t>5a</w:t>
      </w:r>
      <w:r>
        <w:t xml:space="preserve">, then the 2.4GHz transmit power is 12dBm.  If not, subtract 3 and the 2.4GHz receive signal, </w:t>
      </w:r>
      <w:r w:rsidRPr="005E02FA">
        <w:rPr>
          <w:i/>
        </w:rPr>
        <w:t>Rx</w:t>
      </w:r>
      <w:r>
        <w:rPr>
          <w:i/>
          <w:vertAlign w:val="subscript"/>
        </w:rPr>
        <w:t>2.4</w:t>
      </w:r>
      <w:r>
        <w:t xml:space="preserve">, from the adjusted 5GHz receive signal, </w:t>
      </w:r>
      <w:r w:rsidRPr="005E02FA">
        <w:rPr>
          <w:i/>
        </w:rPr>
        <w:t>Rx</w:t>
      </w:r>
      <w:r w:rsidRPr="005E02FA">
        <w:rPr>
          <w:i/>
          <w:vertAlign w:val="subscript"/>
        </w:rPr>
        <w:t>5a</w:t>
      </w:r>
      <w:r>
        <w:t xml:space="preserve">.  This will be the 2.4GHz adjustment value, </w:t>
      </w:r>
      <w:r w:rsidRPr="00393F8C">
        <w:rPr>
          <w:i/>
        </w:rPr>
        <w:t>A</w:t>
      </w:r>
      <w:r>
        <w:rPr>
          <w:i/>
          <w:vertAlign w:val="subscript"/>
        </w:rPr>
        <w:t>2.4</w:t>
      </w:r>
      <w:r>
        <w:t xml:space="preserve">.  Subtract the 2.4GHz adjustment value from 12dBm.  This will be your 2.4GHz transmit power, </w:t>
      </w:r>
      <w:r w:rsidRPr="00393F8C">
        <w:rPr>
          <w:i/>
        </w:rPr>
        <w:t>Tx</w:t>
      </w:r>
      <w:r>
        <w:rPr>
          <w:i/>
          <w:vertAlign w:val="subscript"/>
        </w:rPr>
        <w:t>2.4</w:t>
      </w:r>
      <w:r>
        <w:t xml:space="preserve">.  </w:t>
      </w:r>
      <w:r w:rsidRPr="00393F8C">
        <w:rPr>
          <w:i/>
        </w:rPr>
        <w:t>Tx</w:t>
      </w:r>
      <w:r>
        <w:rPr>
          <w:i/>
          <w:vertAlign w:val="subscript"/>
        </w:rPr>
        <w:t xml:space="preserve">2.4 </w:t>
      </w:r>
      <w:r w:rsidRPr="00200149">
        <w:t>will typically be</w:t>
      </w:r>
      <w:r>
        <w:rPr>
          <w:i/>
          <w:vertAlign w:val="subscript"/>
        </w:rPr>
        <w:t xml:space="preserve"> </w:t>
      </w:r>
      <w:r>
        <w:t xml:space="preserve">3 to 6 dB lower than </w:t>
      </w:r>
      <w:r w:rsidRPr="00393F8C">
        <w:rPr>
          <w:i/>
        </w:rPr>
        <w:t>Tx</w:t>
      </w:r>
      <w:r>
        <w:rPr>
          <w:i/>
          <w:vertAlign w:val="subscript"/>
        </w:rPr>
        <w:t>5</w:t>
      </w:r>
      <w:r>
        <w:t>.</w:t>
      </w:r>
    </w:p>
    <w:p w:rsidR="006439D3" w:rsidRDefault="006439D3" w:rsidP="006439D3">
      <w:pPr>
        <w:pStyle w:val="ListParagraph"/>
      </w:pPr>
    </w:p>
    <w:p w:rsidR="006439D3" w:rsidRPr="00835809" w:rsidRDefault="00817F85" w:rsidP="006439D3">
      <w:pPr>
        <w:pStyle w:val="ListParagraph"/>
        <w:jc w:val="center"/>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2.4</m:t>
            </m:r>
          </m:sub>
        </m:sSub>
        <m:sSub>
          <m:sSubPr>
            <m:ctrlPr>
              <w:rPr>
                <w:rFonts w:ascii="Cambria Math" w:hAnsi="Cambria Math"/>
                <w:i/>
              </w:rPr>
            </m:ctrlPr>
          </m:sSubPr>
          <m:e>
            <m:r>
              <w:rPr>
                <w:rFonts w:ascii="Cambria Math" w:hAnsi="Cambria Math"/>
              </w:rPr>
              <m:t>=RND</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 xml:space="preserve"> Rx</m:t>
            </m:r>
          </m:e>
          <m:sub>
            <m:r>
              <w:rPr>
                <w:rFonts w:ascii="Cambria Math" w:hAnsi="Cambria Math"/>
              </w:rPr>
              <m:t>5a</m:t>
            </m:r>
          </m:sub>
        </m:sSub>
        <m:r>
          <w:rPr>
            <w:rFonts w:ascii="Cambria Math" w:hAnsi="Cambria Math"/>
          </w:rPr>
          <m:t>-3-</m:t>
        </m:r>
        <m:sSub>
          <m:sSubPr>
            <m:ctrlPr>
              <w:rPr>
                <w:rFonts w:ascii="Cambria Math" w:hAnsi="Cambria Math"/>
                <w:i/>
              </w:rPr>
            </m:ctrlPr>
          </m:sSubPr>
          <m:e>
            <m:r>
              <w:rPr>
                <w:rFonts w:ascii="Cambria Math" w:hAnsi="Cambria Math"/>
              </w:rPr>
              <m:t>Rx</m:t>
            </m:r>
          </m:e>
          <m:sub>
            <m:r>
              <w:rPr>
                <w:rFonts w:ascii="Cambria Math" w:hAnsi="Cambria Math"/>
              </w:rPr>
              <m:t>2.4</m:t>
            </m:r>
          </m:sub>
        </m:sSub>
        <m:r>
          <w:rPr>
            <w:rFonts w:ascii="Cambria Math" w:hAnsi="Cambria Math"/>
          </w:rPr>
          <m:t>)</m:t>
        </m:r>
      </m:oMath>
      <w:r w:rsidR="006439D3">
        <w:rPr>
          <w:rFonts w:eastAsiaTheme="minorEastAsia"/>
        </w:rPr>
        <w:t xml:space="preserve"> </w:t>
      </w:r>
      <w:r w:rsidR="006439D3" w:rsidRPr="00E14376">
        <w:rPr>
          <w:rFonts w:eastAsiaTheme="minorEastAsia"/>
          <w:sz w:val="18"/>
          <w:szCs w:val="18"/>
        </w:rPr>
        <w:t xml:space="preserve">| </w:t>
      </w:r>
      <m:oMath>
        <m:sSub>
          <m:sSubPr>
            <m:ctrlPr>
              <w:rPr>
                <w:rFonts w:ascii="Cambria Math" w:hAnsi="Cambria Math"/>
                <w:i/>
                <w:sz w:val="18"/>
                <w:szCs w:val="18"/>
              </w:rPr>
            </m:ctrlPr>
          </m:sSubPr>
          <m:e>
            <m:r>
              <w:rPr>
                <w:rFonts w:ascii="Cambria Math" w:hAnsi="Cambria Math"/>
                <w:sz w:val="18"/>
                <w:szCs w:val="18"/>
              </w:rPr>
              <m:t>Note, Rx</m:t>
            </m:r>
          </m:e>
          <m:sub>
            <m:r>
              <w:rPr>
                <w:rFonts w:ascii="Cambria Math" w:hAnsi="Cambria Math"/>
                <w:sz w:val="18"/>
                <w:szCs w:val="18"/>
              </w:rPr>
              <m:t>2.4</m:t>
            </m:r>
          </m:sub>
        </m:sSub>
        <m:r>
          <w:rPr>
            <w:rFonts w:ascii="Cambria Math" w:hAnsi="Cambria Math"/>
            <w:sz w:val="18"/>
            <w:szCs w:val="18"/>
          </w:rPr>
          <m:t xml:space="preserve"> is negative</m:t>
        </m:r>
      </m:oMath>
    </w:p>
    <w:p w:rsidR="006439D3" w:rsidRPr="00835809" w:rsidRDefault="00817F85" w:rsidP="006439D3">
      <w:pPr>
        <w:pStyle w:val="ListParagraph"/>
        <w:jc w:val="center"/>
        <w:rPr>
          <w:rFonts w:eastAsiaTheme="minorEastAsia"/>
        </w:rPr>
      </w:pPr>
      <m:oMathPara>
        <m:oMath>
          <m:sSub>
            <m:sSubPr>
              <m:ctrlPr>
                <w:rPr>
                  <w:rFonts w:ascii="Cambria Math" w:hAnsi="Cambria Math"/>
                  <w:i/>
                </w:rPr>
              </m:ctrlPr>
            </m:sSubPr>
            <m:e>
              <m:r>
                <w:rPr>
                  <w:rFonts w:ascii="Cambria Math" w:hAnsi="Cambria Math"/>
                </w:rPr>
                <m:t>Tx</m:t>
              </m:r>
            </m:e>
            <m:sub>
              <m:r>
                <w:rPr>
                  <w:rFonts w:ascii="Cambria Math" w:hAnsi="Cambria Math"/>
                </w:rPr>
                <m:t>2.4</m:t>
              </m:r>
            </m:sub>
          </m:sSub>
          <m:r>
            <w:rPr>
              <w:rFonts w:ascii="Cambria Math" w:hAnsi="Cambria Math"/>
            </w:rPr>
            <m:t>=12-</m:t>
          </m:r>
          <m:sSub>
            <m:sSubPr>
              <m:ctrlPr>
                <w:rPr>
                  <w:rFonts w:ascii="Cambria Math" w:hAnsi="Cambria Math"/>
                  <w:i/>
                </w:rPr>
              </m:ctrlPr>
            </m:sSubPr>
            <m:e>
              <m:r>
                <w:rPr>
                  <w:rFonts w:ascii="Cambria Math" w:hAnsi="Cambria Math"/>
                </w:rPr>
                <m:t>A</m:t>
              </m:r>
            </m:e>
            <m:sub>
              <m:r>
                <w:rPr>
                  <w:rFonts w:ascii="Cambria Math" w:hAnsi="Cambria Math"/>
                </w:rPr>
                <m:t>2.4</m:t>
              </m:r>
            </m:sub>
          </m:sSub>
        </m:oMath>
      </m:oMathPara>
    </w:p>
    <w:p w:rsidR="006439D3" w:rsidRDefault="006439D3" w:rsidP="006439D3">
      <w:pPr>
        <w:pStyle w:val="ListParagraph"/>
      </w:pPr>
    </w:p>
    <w:p w:rsidR="006439D3" w:rsidRDefault="006439D3" w:rsidP="006439D3">
      <w:pPr>
        <w:pStyle w:val="ListParagraph"/>
        <w:numPr>
          <w:ilvl w:val="0"/>
          <w:numId w:val="4"/>
        </w:numPr>
      </w:pPr>
      <w:r>
        <w:t xml:space="preserve">Set the survey AP to the selected </w:t>
      </w:r>
      <w:proofErr w:type="spellStart"/>
      <w:proofErr w:type="gramStart"/>
      <w:r>
        <w:t>Tx</w:t>
      </w:r>
      <w:proofErr w:type="spellEnd"/>
      <w:proofErr w:type="gramEnd"/>
      <w:r>
        <w:t xml:space="preserve"> power settings and note the size of the coverage footprint at -83dBm, -88dBm, and -93dBm.  Note this footprint on floors above and below the AP, as well as the floor on which the AP is located.  Also check nearby buildings, if applicable.  This information will be important to assessing potential </w:t>
      </w:r>
      <w:r w:rsidR="006F1C2D">
        <w:t>co-channel interference (</w:t>
      </w:r>
      <w:r w:rsidR="00021D3D">
        <w:t>CCI</w:t>
      </w:r>
      <w:r w:rsidR="006F1C2D">
        <w:t>)</w:t>
      </w:r>
      <w:r>
        <w:t>.</w:t>
      </w:r>
    </w:p>
    <w:p w:rsidR="006F1C2D" w:rsidRDefault="006F1C2D" w:rsidP="006F1C2D">
      <w:pPr>
        <w:pStyle w:val="ListParagraph"/>
        <w:numPr>
          <w:ilvl w:val="0"/>
          <w:numId w:val="4"/>
        </w:numPr>
      </w:pPr>
      <w:r>
        <w:t>Determine the Rx sensitivity reduction for each radio using the following criteria:</w:t>
      </w:r>
    </w:p>
    <w:p w:rsidR="006F1C2D" w:rsidRDefault="006F1C2D" w:rsidP="006F1C2D">
      <w:pPr>
        <w:pStyle w:val="ListParagraph"/>
        <w:numPr>
          <w:ilvl w:val="1"/>
          <w:numId w:val="4"/>
        </w:numPr>
      </w:pPr>
      <w:r>
        <w:t xml:space="preserve">If the </w:t>
      </w:r>
      <w:proofErr w:type="spellStart"/>
      <w:proofErr w:type="gramStart"/>
      <w:r>
        <w:t>Tx</w:t>
      </w:r>
      <w:proofErr w:type="spellEnd"/>
      <w:proofErr w:type="gramEnd"/>
      <w:r>
        <w:t xml:space="preserve"> power is 15dBm or greater, the Rx sensitivity reduction is 0dB.</w:t>
      </w:r>
    </w:p>
    <w:p w:rsidR="006F1C2D" w:rsidRDefault="006F1C2D" w:rsidP="006F1C2D">
      <w:pPr>
        <w:pStyle w:val="ListParagraph"/>
        <w:numPr>
          <w:ilvl w:val="1"/>
          <w:numId w:val="4"/>
        </w:numPr>
      </w:pPr>
      <w:r>
        <w:t xml:space="preserve">If the </w:t>
      </w:r>
      <w:proofErr w:type="spellStart"/>
      <w:proofErr w:type="gramStart"/>
      <w:r w:rsidR="00757408">
        <w:t>Tx</w:t>
      </w:r>
      <w:proofErr w:type="spellEnd"/>
      <w:proofErr w:type="gramEnd"/>
      <w:r w:rsidR="00757408">
        <w:t xml:space="preserve"> power is between 9dBm </w:t>
      </w:r>
      <w:r w:rsidR="00EE6CA7">
        <w:t>and</w:t>
      </w:r>
      <w:r w:rsidR="00757408">
        <w:t xml:space="preserve"> 12dBm, the Rx sensitivity reduction is 5dB</w:t>
      </w:r>
      <w:r w:rsidR="00EE6CA7">
        <w:t>.</w:t>
      </w:r>
    </w:p>
    <w:p w:rsidR="00757408" w:rsidRDefault="00757408" w:rsidP="006F1C2D">
      <w:pPr>
        <w:pStyle w:val="ListParagraph"/>
        <w:numPr>
          <w:ilvl w:val="1"/>
          <w:numId w:val="4"/>
        </w:numPr>
      </w:pPr>
      <w:r>
        <w:t xml:space="preserve">If the </w:t>
      </w:r>
      <w:proofErr w:type="spellStart"/>
      <w:proofErr w:type="gramStart"/>
      <w:r>
        <w:t>Tx</w:t>
      </w:r>
      <w:proofErr w:type="spellEnd"/>
      <w:proofErr w:type="gramEnd"/>
      <w:r>
        <w:t xml:space="preserve"> power is less than 6dBm or less, the Rx sensitivity reduction should be 10dB.</w:t>
      </w:r>
    </w:p>
    <w:p w:rsidR="00BC49AF" w:rsidRDefault="00BC49AF" w:rsidP="00BC49AF">
      <w:pPr>
        <w:pStyle w:val="ListParagraph"/>
        <w:numPr>
          <w:ilvl w:val="0"/>
          <w:numId w:val="4"/>
        </w:numPr>
      </w:pPr>
      <w:r>
        <w:t>After all APs have been laid out and transmit power settings determined, review the plan for potential CCI problems using the following procedure:</w:t>
      </w:r>
    </w:p>
    <w:p w:rsidR="00BC49AF" w:rsidRDefault="00044C6F" w:rsidP="00BC49AF">
      <w:pPr>
        <w:pStyle w:val="ListParagraph"/>
        <w:numPr>
          <w:ilvl w:val="1"/>
          <w:numId w:val="4"/>
        </w:numPr>
      </w:pPr>
      <w:r>
        <w:t xml:space="preserve">Evaluate the 5GHz radios for CCI.  </w:t>
      </w:r>
      <w:r w:rsidR="00BC49AF">
        <w:t>Assume 40MHz channels at 5GHz.</w:t>
      </w:r>
    </w:p>
    <w:p w:rsidR="00BC49AF" w:rsidRDefault="00BC49AF" w:rsidP="00BC49AF">
      <w:pPr>
        <w:pStyle w:val="ListParagraph"/>
        <w:numPr>
          <w:ilvl w:val="1"/>
          <w:numId w:val="4"/>
        </w:numPr>
      </w:pPr>
      <w:r>
        <w:t xml:space="preserve">Choose a target AP </w:t>
      </w:r>
      <w:r w:rsidR="00BA1E6E">
        <w:t>from the area of the building with the greatest AP density.  I</w:t>
      </w:r>
      <w:r>
        <w:t xml:space="preserve">dentify </w:t>
      </w:r>
      <w:r w:rsidR="00BA1E6E">
        <w:t>that AP’s</w:t>
      </w:r>
      <w:r>
        <w:t xml:space="preserve"> 10th nearest RF neighbor</w:t>
      </w:r>
      <w:r w:rsidR="00BA1E6E" w:rsidRPr="00BA1E6E">
        <w:t xml:space="preserve"> </w:t>
      </w:r>
      <w:r w:rsidR="00BA1E6E">
        <w:t xml:space="preserve">(Don’t forget about APs on other floors.)  </w:t>
      </w:r>
      <w:r>
        <w:t xml:space="preserve">This neighbor should be the nearest AP to use the same channel as the </w:t>
      </w:r>
      <w:r w:rsidR="00BA1E6E">
        <w:t>target AP.</w:t>
      </w:r>
    </w:p>
    <w:p w:rsidR="00BC49AF" w:rsidRDefault="00BC49AF" w:rsidP="00BC49AF">
      <w:pPr>
        <w:pStyle w:val="ListParagraph"/>
        <w:numPr>
          <w:ilvl w:val="1"/>
          <w:numId w:val="4"/>
        </w:numPr>
      </w:pPr>
      <w:r>
        <w:t>Determine where the neighbor AP falls with respect to RSSI from the target AP</w:t>
      </w:r>
      <w:r w:rsidR="00B26802">
        <w:t xml:space="preserve"> and evaluate for CCI using the following standard:</w:t>
      </w:r>
    </w:p>
    <w:p w:rsidR="009473EF" w:rsidRDefault="009473EF" w:rsidP="00B26802">
      <w:pPr>
        <w:pStyle w:val="ListParagraph"/>
        <w:numPr>
          <w:ilvl w:val="2"/>
          <w:numId w:val="4"/>
        </w:numPr>
      </w:pPr>
      <w:r>
        <w:lastRenderedPageBreak/>
        <w:t xml:space="preserve">If the </w:t>
      </w:r>
      <w:r w:rsidR="00BA1E6E">
        <w:t>neighbor AP’s Rx sensitivity reduction is 0dB and the AP is inside the -93dBm boundary, then CCI exists between these two APs.</w:t>
      </w:r>
    </w:p>
    <w:p w:rsidR="00BA1E6E" w:rsidRDefault="00BA1E6E" w:rsidP="00B26802">
      <w:pPr>
        <w:pStyle w:val="ListParagraph"/>
        <w:numPr>
          <w:ilvl w:val="2"/>
          <w:numId w:val="4"/>
        </w:numPr>
      </w:pPr>
      <w:r>
        <w:t>If the neighbor AP’s Rx sensitivity reduction is 5dB and the AP is inside the -88dBm boundary, than CCI exists between these two APs.</w:t>
      </w:r>
    </w:p>
    <w:p w:rsidR="00BA1E6E" w:rsidRDefault="00BA1E6E" w:rsidP="00B26802">
      <w:pPr>
        <w:pStyle w:val="ListParagraph"/>
        <w:numPr>
          <w:ilvl w:val="2"/>
          <w:numId w:val="4"/>
        </w:numPr>
      </w:pPr>
      <w:r>
        <w:t>If the neighbor AP’s Rx sensitivity reduction is 10dBm and the AP is inside the -83dBm boundary, than CCI exists between these two APs.</w:t>
      </w:r>
    </w:p>
    <w:p w:rsidR="00BA1E6E" w:rsidRDefault="00BA1E6E" w:rsidP="00BC49AF">
      <w:pPr>
        <w:pStyle w:val="ListParagraph"/>
        <w:numPr>
          <w:ilvl w:val="1"/>
          <w:numId w:val="4"/>
        </w:numPr>
      </w:pPr>
      <w:r>
        <w:t xml:space="preserve">Repeat steps b. </w:t>
      </w:r>
      <w:r w:rsidR="00B26802">
        <w:t>and c.</w:t>
      </w:r>
      <w:r>
        <w:t xml:space="preserve"> for all APs.  If more than 10% of APs will have CCI, then switch to a 20MHz channel plan.</w:t>
      </w:r>
    </w:p>
    <w:p w:rsidR="00BC49AF" w:rsidRDefault="002F7191" w:rsidP="00BC49AF">
      <w:pPr>
        <w:pStyle w:val="ListParagraph"/>
        <w:numPr>
          <w:ilvl w:val="1"/>
          <w:numId w:val="4"/>
        </w:numPr>
      </w:pPr>
      <w:r>
        <w:t xml:space="preserve">Evaluate the 2.4GHz radios for </w:t>
      </w:r>
      <w:r w:rsidR="00B26802">
        <w:t>CCI.</w:t>
      </w:r>
    </w:p>
    <w:p w:rsidR="00B26802" w:rsidRDefault="00B26802" w:rsidP="00B26802">
      <w:pPr>
        <w:pStyle w:val="ListParagraph"/>
        <w:numPr>
          <w:ilvl w:val="1"/>
          <w:numId w:val="4"/>
        </w:numPr>
      </w:pPr>
      <w:r>
        <w:t>Choose a target AP from the area of the building with the greatest AP density.  Identify that AP’s 3rd nearest RF neighbor</w:t>
      </w:r>
      <w:r w:rsidRPr="00BA1E6E">
        <w:t xml:space="preserve"> </w:t>
      </w:r>
      <w:r>
        <w:t>(Don’t forget about APs on other floors.)  This neighbor should be the nearest AP to use the same channel as the target AP.</w:t>
      </w:r>
    </w:p>
    <w:p w:rsidR="00B26802" w:rsidRDefault="00B26802" w:rsidP="00B26802">
      <w:pPr>
        <w:pStyle w:val="ListParagraph"/>
        <w:numPr>
          <w:ilvl w:val="1"/>
          <w:numId w:val="4"/>
        </w:numPr>
      </w:pPr>
      <w:r>
        <w:t>Determine where the neighbor AP falls with respect to RSSI from the target AP and evaluate for CCI using the following standard:</w:t>
      </w:r>
    </w:p>
    <w:p w:rsidR="00B26802" w:rsidRDefault="00B26802" w:rsidP="00B26802">
      <w:pPr>
        <w:pStyle w:val="ListParagraph"/>
        <w:numPr>
          <w:ilvl w:val="2"/>
          <w:numId w:val="4"/>
        </w:numPr>
      </w:pPr>
      <w:r>
        <w:t>If the neighbor AP’s Rx sensitivity reduction is 0dB and the AP is inside the -93dBm boundary, then CCI exists between these two APs.</w:t>
      </w:r>
    </w:p>
    <w:p w:rsidR="00B26802" w:rsidRDefault="00B26802" w:rsidP="00B26802">
      <w:pPr>
        <w:pStyle w:val="ListParagraph"/>
        <w:numPr>
          <w:ilvl w:val="2"/>
          <w:numId w:val="4"/>
        </w:numPr>
      </w:pPr>
      <w:r>
        <w:t>If the neighbor AP’s Rx sensitivity reduction is 5dB and the AP is inside the -88dBm boundary, than CCI exists between these two APs.</w:t>
      </w:r>
    </w:p>
    <w:p w:rsidR="00B26802" w:rsidRDefault="00B26802" w:rsidP="00B26802">
      <w:pPr>
        <w:pStyle w:val="ListParagraph"/>
        <w:numPr>
          <w:ilvl w:val="2"/>
          <w:numId w:val="4"/>
        </w:numPr>
      </w:pPr>
      <w:r>
        <w:t>If the neighbor AP’s Rx sensitivity reduction is 10dBm and the AP is inside the -83dBm boundary, than CCI exists between these two APs.</w:t>
      </w:r>
    </w:p>
    <w:p w:rsidR="00B26802" w:rsidRDefault="00B26802" w:rsidP="00BC49AF">
      <w:pPr>
        <w:pStyle w:val="ListParagraph"/>
        <w:numPr>
          <w:ilvl w:val="1"/>
          <w:numId w:val="4"/>
        </w:numPr>
      </w:pPr>
      <w:r>
        <w:t xml:space="preserve">For any interfering AP pairs, consider if the power and Rx sensitivity can be reduced further without compromising basic connectivity for </w:t>
      </w:r>
      <w:proofErr w:type="gramStart"/>
      <w:r>
        <w:t>2.4Ghz</w:t>
      </w:r>
      <w:proofErr w:type="gramEnd"/>
      <w:r>
        <w:t xml:space="preserve"> clients.</w:t>
      </w:r>
    </w:p>
    <w:p w:rsidR="00B26802" w:rsidRDefault="004F7DA0" w:rsidP="00BC49AF">
      <w:pPr>
        <w:pStyle w:val="ListParagraph"/>
        <w:numPr>
          <w:ilvl w:val="1"/>
          <w:numId w:val="4"/>
        </w:numPr>
      </w:pPr>
      <w:r>
        <w:t xml:space="preserve">If CCI still exists consider if any 2.4GHz radios can be disabled without compromising connectivity.  This may require increasing </w:t>
      </w:r>
      <w:proofErr w:type="spellStart"/>
      <w:proofErr w:type="gramStart"/>
      <w:r>
        <w:t>Tx</w:t>
      </w:r>
      <w:proofErr w:type="spellEnd"/>
      <w:proofErr w:type="gramEnd"/>
      <w:r>
        <w:t xml:space="preserve"> power on enabled radios, but 2.4GHz </w:t>
      </w:r>
      <w:proofErr w:type="spellStart"/>
      <w:r>
        <w:t>Tx</w:t>
      </w:r>
      <w:proofErr w:type="spellEnd"/>
      <w:r>
        <w:t xml:space="preserve"> power should always be at least 3dB less than 5GHz </w:t>
      </w:r>
      <w:proofErr w:type="spellStart"/>
      <w:r>
        <w:t>Tx</w:t>
      </w:r>
      <w:proofErr w:type="spellEnd"/>
      <w:r>
        <w:t xml:space="preserve"> power on the same AP, or client affinity for 5GHz radios will be reduced.</w:t>
      </w:r>
    </w:p>
    <w:sectPr w:rsidR="00B2680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85" w:rsidRDefault="00817F85" w:rsidP="00337DF4">
      <w:pPr>
        <w:spacing w:after="0" w:line="240" w:lineRule="auto"/>
      </w:pPr>
      <w:r>
        <w:separator/>
      </w:r>
    </w:p>
  </w:endnote>
  <w:endnote w:type="continuationSeparator" w:id="0">
    <w:p w:rsidR="00817F85" w:rsidRDefault="00817F85" w:rsidP="0033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DF4" w:rsidRDefault="00337DF4">
    <w:pPr>
      <w:pStyle w:val="Footer"/>
    </w:pPr>
    <w:r>
      <w:t>CAE</w:t>
    </w:r>
    <w:r w:rsidR="007C3A3E">
      <w:tab/>
    </w:r>
    <w:r w:rsidR="007C3A3E">
      <w:tab/>
      <w:t>6/30</w:t>
    </w:r>
    <w: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85" w:rsidRDefault="00817F85" w:rsidP="00337DF4">
      <w:pPr>
        <w:spacing w:after="0" w:line="240" w:lineRule="auto"/>
      </w:pPr>
      <w:r>
        <w:separator/>
      </w:r>
    </w:p>
  </w:footnote>
  <w:footnote w:type="continuationSeparator" w:id="0">
    <w:p w:rsidR="00817F85" w:rsidRDefault="00817F85" w:rsidP="00337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DF4" w:rsidRDefault="002E7C53">
    <w:pPr>
      <w:pStyle w:val="Header"/>
    </w:pPr>
    <w:r>
      <w:t xml:space="preserve">802.11ac </w:t>
    </w:r>
    <w:r w:rsidR="00337DF4">
      <w:t>AP Placement</w:t>
    </w:r>
    <w:r w:rsidR="007C3A3E">
      <w:t>,</w:t>
    </w:r>
    <w:r w:rsidR="00337DF4">
      <w:t xml:space="preserve"> RF Survey</w:t>
    </w:r>
    <w:r w:rsidR="007C3A3E">
      <w:t xml:space="preserve"> &amp;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D5726"/>
    <w:multiLevelType w:val="hybridMultilevel"/>
    <w:tmpl w:val="27F4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B1C19"/>
    <w:multiLevelType w:val="hybridMultilevel"/>
    <w:tmpl w:val="5ECC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72D3D"/>
    <w:multiLevelType w:val="hybridMultilevel"/>
    <w:tmpl w:val="5B18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E68E3"/>
    <w:multiLevelType w:val="hybridMultilevel"/>
    <w:tmpl w:val="25CA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12441"/>
    <w:multiLevelType w:val="hybridMultilevel"/>
    <w:tmpl w:val="1EB2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291B7E"/>
    <w:multiLevelType w:val="hybridMultilevel"/>
    <w:tmpl w:val="D048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34800"/>
    <w:multiLevelType w:val="hybridMultilevel"/>
    <w:tmpl w:val="F3ACB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97"/>
    <w:rsid w:val="000006FA"/>
    <w:rsid w:val="00000C22"/>
    <w:rsid w:val="00021D3D"/>
    <w:rsid w:val="000404AE"/>
    <w:rsid w:val="00044C6F"/>
    <w:rsid w:val="00087D10"/>
    <w:rsid w:val="000B05BC"/>
    <w:rsid w:val="000C2DE8"/>
    <w:rsid w:val="0010117D"/>
    <w:rsid w:val="0019602E"/>
    <w:rsid w:val="001A259B"/>
    <w:rsid w:val="001C0CDC"/>
    <w:rsid w:val="002025D6"/>
    <w:rsid w:val="00204281"/>
    <w:rsid w:val="00266468"/>
    <w:rsid w:val="002727AF"/>
    <w:rsid w:val="00275508"/>
    <w:rsid w:val="002918D7"/>
    <w:rsid w:val="002E7C53"/>
    <w:rsid w:val="002F7191"/>
    <w:rsid w:val="00314770"/>
    <w:rsid w:val="00337DF4"/>
    <w:rsid w:val="00340F21"/>
    <w:rsid w:val="00354BE2"/>
    <w:rsid w:val="003626BA"/>
    <w:rsid w:val="00365DE3"/>
    <w:rsid w:val="003A4D81"/>
    <w:rsid w:val="003A66DB"/>
    <w:rsid w:val="003C325E"/>
    <w:rsid w:val="003E6FCD"/>
    <w:rsid w:val="00407CB0"/>
    <w:rsid w:val="00410238"/>
    <w:rsid w:val="00423E07"/>
    <w:rsid w:val="0047077B"/>
    <w:rsid w:val="00481024"/>
    <w:rsid w:val="00486972"/>
    <w:rsid w:val="004E5A33"/>
    <w:rsid w:val="004F7DA0"/>
    <w:rsid w:val="005058C2"/>
    <w:rsid w:val="00525E2A"/>
    <w:rsid w:val="0053284E"/>
    <w:rsid w:val="005612C4"/>
    <w:rsid w:val="005654D2"/>
    <w:rsid w:val="00570E67"/>
    <w:rsid w:val="005B65F4"/>
    <w:rsid w:val="005E50DA"/>
    <w:rsid w:val="005E7B76"/>
    <w:rsid w:val="005F3254"/>
    <w:rsid w:val="006115DB"/>
    <w:rsid w:val="00630EE3"/>
    <w:rsid w:val="006439D3"/>
    <w:rsid w:val="0067704B"/>
    <w:rsid w:val="0068390D"/>
    <w:rsid w:val="00684BC2"/>
    <w:rsid w:val="006A466C"/>
    <w:rsid w:val="006A494A"/>
    <w:rsid w:val="006F1C2D"/>
    <w:rsid w:val="00734D61"/>
    <w:rsid w:val="00740451"/>
    <w:rsid w:val="00757408"/>
    <w:rsid w:val="00772514"/>
    <w:rsid w:val="00776FBD"/>
    <w:rsid w:val="0078238B"/>
    <w:rsid w:val="007867DE"/>
    <w:rsid w:val="007A4D30"/>
    <w:rsid w:val="007B5FBD"/>
    <w:rsid w:val="007C26A2"/>
    <w:rsid w:val="007C3A3E"/>
    <w:rsid w:val="007D052A"/>
    <w:rsid w:val="007D17B2"/>
    <w:rsid w:val="007F5607"/>
    <w:rsid w:val="007F6130"/>
    <w:rsid w:val="0080278D"/>
    <w:rsid w:val="00812380"/>
    <w:rsid w:val="00817F85"/>
    <w:rsid w:val="00826554"/>
    <w:rsid w:val="0087146F"/>
    <w:rsid w:val="008B58C7"/>
    <w:rsid w:val="008E63EC"/>
    <w:rsid w:val="009275D6"/>
    <w:rsid w:val="00933497"/>
    <w:rsid w:val="00933707"/>
    <w:rsid w:val="00944CFD"/>
    <w:rsid w:val="009473EF"/>
    <w:rsid w:val="00956CD9"/>
    <w:rsid w:val="00962D1D"/>
    <w:rsid w:val="009632D0"/>
    <w:rsid w:val="00985397"/>
    <w:rsid w:val="00990486"/>
    <w:rsid w:val="0099289B"/>
    <w:rsid w:val="00997CAD"/>
    <w:rsid w:val="009B3FB8"/>
    <w:rsid w:val="009C0596"/>
    <w:rsid w:val="009C291F"/>
    <w:rsid w:val="00A52921"/>
    <w:rsid w:val="00A60546"/>
    <w:rsid w:val="00AA1355"/>
    <w:rsid w:val="00AA7142"/>
    <w:rsid w:val="00AB26B3"/>
    <w:rsid w:val="00AD5C3C"/>
    <w:rsid w:val="00B06856"/>
    <w:rsid w:val="00B26802"/>
    <w:rsid w:val="00B42815"/>
    <w:rsid w:val="00B70BF4"/>
    <w:rsid w:val="00B8331F"/>
    <w:rsid w:val="00B83D1B"/>
    <w:rsid w:val="00BA1E6E"/>
    <w:rsid w:val="00BB7AD9"/>
    <w:rsid w:val="00BC38B4"/>
    <w:rsid w:val="00BC49AF"/>
    <w:rsid w:val="00C163C7"/>
    <w:rsid w:val="00C52884"/>
    <w:rsid w:val="00C5468E"/>
    <w:rsid w:val="00C91308"/>
    <w:rsid w:val="00CB7C49"/>
    <w:rsid w:val="00CC1BF2"/>
    <w:rsid w:val="00CC7FB3"/>
    <w:rsid w:val="00D33F48"/>
    <w:rsid w:val="00D702AC"/>
    <w:rsid w:val="00D75FC6"/>
    <w:rsid w:val="00D9247C"/>
    <w:rsid w:val="00DD142F"/>
    <w:rsid w:val="00DF2CB0"/>
    <w:rsid w:val="00E16AAC"/>
    <w:rsid w:val="00E321FA"/>
    <w:rsid w:val="00E4021D"/>
    <w:rsid w:val="00E5377B"/>
    <w:rsid w:val="00E737E7"/>
    <w:rsid w:val="00E80C4B"/>
    <w:rsid w:val="00EA7731"/>
    <w:rsid w:val="00EC0A93"/>
    <w:rsid w:val="00EE6CA7"/>
    <w:rsid w:val="00EF7B14"/>
    <w:rsid w:val="00F42372"/>
    <w:rsid w:val="00F441E5"/>
    <w:rsid w:val="00F61E5D"/>
    <w:rsid w:val="00F775BE"/>
    <w:rsid w:val="00F9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C93A-A0D2-43B8-B000-3257558E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2D0"/>
    <w:pPr>
      <w:ind w:left="720"/>
      <w:contextualSpacing/>
    </w:pPr>
  </w:style>
  <w:style w:type="paragraph" w:styleId="Header">
    <w:name w:val="header"/>
    <w:basedOn w:val="Normal"/>
    <w:link w:val="HeaderChar"/>
    <w:uiPriority w:val="99"/>
    <w:unhideWhenUsed/>
    <w:rsid w:val="0033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F4"/>
  </w:style>
  <w:style w:type="paragraph" w:styleId="Footer">
    <w:name w:val="footer"/>
    <w:basedOn w:val="Normal"/>
    <w:link w:val="FooterChar"/>
    <w:uiPriority w:val="99"/>
    <w:unhideWhenUsed/>
    <w:rsid w:val="0033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F4"/>
  </w:style>
  <w:style w:type="paragraph" w:styleId="BalloonText">
    <w:name w:val="Balloon Text"/>
    <w:basedOn w:val="Normal"/>
    <w:link w:val="BalloonTextChar"/>
    <w:uiPriority w:val="99"/>
    <w:semiHidden/>
    <w:unhideWhenUsed/>
    <w:rsid w:val="00643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D3"/>
    <w:rPr>
      <w:rFonts w:ascii="Tahoma" w:hAnsi="Tahoma" w:cs="Tahoma"/>
      <w:sz w:val="16"/>
      <w:szCs w:val="16"/>
    </w:rPr>
  </w:style>
  <w:style w:type="paragraph" w:styleId="NoSpacing">
    <w:name w:val="No Spacing"/>
    <w:uiPriority w:val="1"/>
    <w:qFormat/>
    <w:rsid w:val="00BB7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Enfield</dc:creator>
  <cp:lastModifiedBy>Chuck Enfield</cp:lastModifiedBy>
  <cp:revision>7</cp:revision>
  <cp:lastPrinted>2015-05-20T19:08:00Z</cp:lastPrinted>
  <dcterms:created xsi:type="dcterms:W3CDTF">2015-08-13T11:45:00Z</dcterms:created>
  <dcterms:modified xsi:type="dcterms:W3CDTF">2015-08-13T12:33:00Z</dcterms:modified>
</cp:coreProperties>
</file>